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Chars="0"/>
        <w:jc w:val="left"/>
        <w:rPr>
          <w:rFonts w:hint="default"/>
          <w:b w:val="0"/>
          <w:bCs w:val="0"/>
          <w:sz w:val="30"/>
          <w:szCs w:val="30"/>
          <w:lang w:val="en-US" w:eastAsia="zh-CN"/>
        </w:rPr>
      </w:pPr>
      <w:bookmarkStart w:id="0" w:name="_Toc18318"/>
      <w:bookmarkStart w:id="1" w:name="_Toc118472538"/>
      <w:r>
        <w:rPr>
          <w:rFonts w:hint="eastAsia"/>
          <w:b w:val="0"/>
          <w:bCs w:val="0"/>
          <w:sz w:val="30"/>
          <w:szCs w:val="30"/>
          <w:lang w:val="en-US" w:eastAsia="zh-CN"/>
        </w:rPr>
        <w:t>附件：</w:t>
      </w:r>
    </w:p>
    <w:p>
      <w:pPr>
        <w:pStyle w:val="2"/>
        <w:numPr>
          <w:ilvl w:val="0"/>
          <w:numId w:val="0"/>
        </w:numPr>
        <w:ind w:leftChars="0"/>
        <w:jc w:val="center"/>
        <w:rPr>
          <w:rFonts w:hint="eastAsia"/>
          <w:sz w:val="36"/>
          <w:szCs w:val="52"/>
          <w:lang w:val="en-US" w:eastAsia="zh-CN"/>
        </w:rPr>
      </w:pPr>
      <w:r>
        <w:rPr>
          <w:rFonts w:hint="eastAsia"/>
          <w:sz w:val="36"/>
          <w:szCs w:val="52"/>
          <w:lang w:val="en-US" w:eastAsia="zh-CN"/>
        </w:rPr>
        <w:t>中国进出口银行数字函证网上银行授权及缴费</w:t>
      </w:r>
    </w:p>
    <w:p>
      <w:pPr>
        <w:pStyle w:val="2"/>
        <w:numPr>
          <w:ilvl w:val="0"/>
          <w:numId w:val="0"/>
        </w:numPr>
        <w:ind w:leftChars="0"/>
        <w:jc w:val="center"/>
        <w:rPr>
          <w:rFonts w:hint="default" w:eastAsia="黑体"/>
          <w:sz w:val="36"/>
          <w:szCs w:val="52"/>
          <w:lang w:val="en-US" w:eastAsia="zh-CN"/>
        </w:rPr>
      </w:pPr>
      <w:r>
        <w:rPr>
          <w:rFonts w:hint="eastAsia"/>
          <w:sz w:val="36"/>
          <w:szCs w:val="52"/>
          <w:lang w:val="en-US" w:eastAsia="zh-CN"/>
        </w:rPr>
        <w:t>操作手册</w:t>
      </w:r>
      <w:bookmarkStart w:id="30" w:name="_GoBack"/>
      <w:bookmarkEnd w:id="30"/>
    </w:p>
    <w:p>
      <w:pPr>
        <w:pStyle w:val="2"/>
      </w:pPr>
      <w:r>
        <w:rPr>
          <w:rFonts w:hint="eastAsia"/>
        </w:rPr>
        <w:t>数字</w:t>
      </w:r>
      <w:r>
        <w:rPr>
          <w:rFonts w:hint="eastAsia"/>
          <w:lang w:val="en-US" w:eastAsia="zh-CN"/>
        </w:rPr>
        <w:t>函证</w:t>
      </w:r>
      <w:r>
        <w:rPr>
          <w:rFonts w:hint="eastAsia"/>
        </w:rPr>
        <w:t>授权</w:t>
      </w:r>
      <w:bookmarkEnd w:id="0"/>
      <w:bookmarkEnd w:id="1"/>
    </w:p>
    <w:p>
      <w:pPr>
        <w:pStyle w:val="3"/>
        <w:rPr>
          <w:rFonts w:hint="eastAsia"/>
        </w:rPr>
      </w:pPr>
      <w:bookmarkStart w:id="2" w:name="_Toc9355"/>
      <w:bookmarkStart w:id="3" w:name="_Toc118472539"/>
      <w:r>
        <w:rPr>
          <w:rFonts w:hint="eastAsia"/>
        </w:rPr>
        <w:t>数字</w:t>
      </w:r>
      <w:r>
        <w:rPr>
          <w:rFonts w:hint="eastAsia"/>
          <w:lang w:val="en-US" w:eastAsia="zh-CN"/>
        </w:rPr>
        <w:t>函证</w:t>
      </w:r>
      <w:r>
        <w:rPr>
          <w:rFonts w:hint="eastAsia"/>
        </w:rPr>
        <w:t>业务开通</w:t>
      </w:r>
      <w:bookmarkEnd w:id="2"/>
      <w:bookmarkEnd w:id="3"/>
    </w:p>
    <w:p>
      <w:pPr>
        <w:pStyle w:val="4"/>
      </w:pPr>
      <w:bookmarkStart w:id="4" w:name="_Toc8647"/>
      <w:bookmarkStart w:id="5" w:name="_Toc118472540"/>
      <w:r>
        <w:rPr>
          <w:rFonts w:hint="eastAsia"/>
        </w:rPr>
        <w:t>功能描述</w:t>
      </w:r>
      <w:bookmarkEnd w:id="4"/>
      <w:bookmarkEnd w:id="5"/>
    </w:p>
    <w:p>
      <w:pPr>
        <w:rPr>
          <w:rFonts w:hint="eastAsia"/>
        </w:rPr>
      </w:pPr>
      <w:r>
        <w:rPr>
          <w:rFonts w:hint="eastAsia"/>
          <w:lang w:val="en-US" w:eastAsia="zh-CN"/>
        </w:rPr>
        <w:t>被审计单位（企业客户）</w:t>
      </w:r>
      <w:r>
        <w:rPr>
          <w:rFonts w:hint="eastAsia"/>
        </w:rPr>
        <w:t>首次使用数字</w:t>
      </w:r>
      <w:r>
        <w:rPr>
          <w:rFonts w:hint="eastAsia"/>
          <w:lang w:val="en-US" w:eastAsia="zh-CN"/>
        </w:rPr>
        <w:t>函证</w:t>
      </w:r>
      <w:r>
        <w:rPr>
          <w:rFonts w:hint="eastAsia"/>
        </w:rPr>
        <w:t>授权功能前，需</w:t>
      </w:r>
      <w:r>
        <w:rPr>
          <w:rFonts w:hint="eastAsia"/>
          <w:lang w:val="en-US" w:eastAsia="zh-CN"/>
        </w:rPr>
        <w:t>在网上银行渠道</w:t>
      </w:r>
      <w:r>
        <w:rPr>
          <w:rFonts w:hint="eastAsia"/>
        </w:rPr>
        <w:t>进行业务开通操作。</w:t>
      </w:r>
    </w:p>
    <w:p>
      <w:pPr>
        <w:pStyle w:val="4"/>
      </w:pPr>
      <w:bookmarkStart w:id="6" w:name="_Toc118472541"/>
      <w:bookmarkStart w:id="7" w:name="_Toc20395"/>
      <w:r>
        <w:rPr>
          <w:rFonts w:hint="eastAsia"/>
        </w:rPr>
        <w:t>界面与操作说明</w:t>
      </w:r>
      <w:bookmarkEnd w:id="6"/>
      <w:bookmarkEnd w:id="7"/>
    </w:p>
    <w:p>
      <w:r>
        <w:rPr>
          <w:rFonts w:hint="eastAsia"/>
        </w:rPr>
        <w:t>1</w:t>
      </w:r>
      <w:r>
        <w:t>.</w:t>
      </w:r>
      <w:r>
        <w:rPr>
          <w:rFonts w:hint="eastAsia"/>
        </w:rPr>
        <w:t>使用网银主管操作员登录</w:t>
      </w:r>
      <w:r>
        <w:rPr>
          <w:rFonts w:hint="eastAsia"/>
          <w:lang w:val="en-US" w:eastAsia="zh-CN"/>
        </w:rPr>
        <w:t>网银页面</w:t>
      </w:r>
      <w:r>
        <w:rPr>
          <w:rFonts w:hint="eastAsia"/>
        </w:rPr>
        <w:t>，进入服务管理-数字函证授权-开通页面，可阅读企业网上银行数字函证授权服务协议。</w:t>
      </w:r>
    </w:p>
    <w:p>
      <w:pPr>
        <w:ind w:firstLine="0" w:firstLineChars="0"/>
      </w:pPr>
      <w:r>
        <w:drawing>
          <wp:inline distT="0" distB="0" distL="0" distR="0">
            <wp:extent cx="5274310" cy="1353820"/>
            <wp:effectExtent l="0" t="0" r="254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pic:cNvPicPr>
                  </pic:nvPicPr>
                  <pic:blipFill>
                    <a:blip r:embed="rId6"/>
                    <a:stretch>
                      <a:fillRect/>
                    </a:stretch>
                  </pic:blipFill>
                  <pic:spPr>
                    <a:xfrm>
                      <a:off x="0" y="0"/>
                      <a:ext cx="5274310" cy="1353820"/>
                    </a:xfrm>
                    <a:prstGeom prst="rect">
                      <a:avLst/>
                    </a:prstGeom>
                  </pic:spPr>
                </pic:pic>
              </a:graphicData>
            </a:graphic>
          </wp:inline>
        </w:drawing>
      </w:r>
    </w:p>
    <w:p>
      <w:r>
        <w:rPr>
          <w:rFonts w:hint="eastAsia"/>
        </w:rPr>
        <w:t>2</w:t>
      </w:r>
      <w:r>
        <w:t>.</w:t>
      </w:r>
      <w:r>
        <w:rPr>
          <w:rFonts w:hint="eastAsia"/>
        </w:rPr>
        <w:t>点击开通按钮，即为同意协议，并开通数字函证业务</w:t>
      </w:r>
      <w:r>
        <w:rPr>
          <w:rFonts w:hint="eastAsia"/>
          <w:lang w:eastAsia="zh-CN"/>
        </w:rPr>
        <w:t>（</w:t>
      </w:r>
      <w:r>
        <w:rPr>
          <w:rFonts w:hint="eastAsia"/>
          <w:lang w:val="en-US" w:eastAsia="zh-CN"/>
        </w:rPr>
        <w:t>该步骤需使用主管盾</w:t>
      </w:r>
      <w:r>
        <w:rPr>
          <w:rFonts w:hint="eastAsia"/>
          <w:lang w:eastAsia="zh-CN"/>
        </w:rPr>
        <w:t>）</w:t>
      </w:r>
      <w:r>
        <w:rPr>
          <w:rFonts w:hint="eastAsia"/>
        </w:rPr>
        <w:t>。</w:t>
      </w:r>
    </w:p>
    <w:p>
      <w:pPr>
        <w:ind w:firstLine="0" w:firstLineChars="0"/>
        <w:rPr>
          <w:rFonts w:hint="eastAsia"/>
        </w:rPr>
      </w:pPr>
      <w:r>
        <w:drawing>
          <wp:inline distT="0" distB="0" distL="0" distR="0">
            <wp:extent cx="5274310" cy="1692910"/>
            <wp:effectExtent l="0" t="0" r="2540" b="254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7"/>
                    <a:stretch>
                      <a:fillRect/>
                    </a:stretch>
                  </pic:blipFill>
                  <pic:spPr>
                    <a:xfrm>
                      <a:off x="0" y="0"/>
                      <a:ext cx="5274310" cy="1692910"/>
                    </a:xfrm>
                    <a:prstGeom prst="rect">
                      <a:avLst/>
                    </a:prstGeom>
                  </pic:spPr>
                </pic:pic>
              </a:graphicData>
            </a:graphic>
          </wp:inline>
        </w:drawing>
      </w:r>
    </w:p>
    <w:p>
      <w:pPr>
        <w:pStyle w:val="4"/>
      </w:pPr>
      <w:bookmarkStart w:id="8" w:name="_Toc118472542"/>
      <w:bookmarkStart w:id="9" w:name="_Toc28328"/>
      <w:r>
        <w:rPr>
          <w:rFonts w:hint="eastAsia"/>
        </w:rPr>
        <w:t>注意事项</w:t>
      </w:r>
      <w:bookmarkEnd w:id="8"/>
      <w:bookmarkEnd w:id="9"/>
    </w:p>
    <w:p>
      <w:r>
        <w:rPr>
          <w:rFonts w:hint="eastAsia"/>
        </w:rPr>
        <w:t>1、当</w:t>
      </w:r>
      <w:r>
        <w:rPr>
          <w:rFonts w:hint="eastAsia"/>
          <w:lang w:val="en-US" w:eastAsia="zh-CN"/>
        </w:rPr>
        <w:t>被审计单位（企业客户）</w:t>
      </w:r>
      <w:r>
        <w:rPr>
          <w:rFonts w:hint="eastAsia"/>
        </w:rPr>
        <w:t>未开通数字函证业务时，点击函证待授权任务、复核待办、函证流水查询等页面，页面提示：您还未进行数字函证授权功能签约，请联系主管在【数字函证授权】-【开通】功能下进行签约。</w:t>
      </w:r>
    </w:p>
    <w:p>
      <w:pPr>
        <w:ind w:firstLine="0" w:firstLineChars="0"/>
      </w:pPr>
      <w:r>
        <w:drawing>
          <wp:inline distT="0" distB="0" distL="0" distR="0">
            <wp:extent cx="5274310" cy="1162685"/>
            <wp:effectExtent l="0" t="0" r="254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8"/>
                    <a:stretch>
                      <a:fillRect/>
                    </a:stretch>
                  </pic:blipFill>
                  <pic:spPr>
                    <a:xfrm>
                      <a:off x="0" y="0"/>
                      <a:ext cx="5274310" cy="1162685"/>
                    </a:xfrm>
                    <a:prstGeom prst="rect">
                      <a:avLst/>
                    </a:prstGeom>
                  </pic:spPr>
                </pic:pic>
              </a:graphicData>
            </a:graphic>
          </wp:inline>
        </w:drawing>
      </w:r>
    </w:p>
    <w:p>
      <w:pPr>
        <w:pStyle w:val="3"/>
      </w:pPr>
      <w:bookmarkStart w:id="10" w:name="_Toc2916"/>
      <w:bookmarkStart w:id="11" w:name="_Toc118472543"/>
      <w:r>
        <w:rPr>
          <w:rFonts w:hint="eastAsia"/>
        </w:rPr>
        <w:t>函证待授权任务</w:t>
      </w:r>
      <w:bookmarkEnd w:id="10"/>
      <w:bookmarkEnd w:id="11"/>
    </w:p>
    <w:p>
      <w:pPr>
        <w:pStyle w:val="4"/>
      </w:pPr>
      <w:bookmarkStart w:id="12" w:name="_Toc11523"/>
      <w:bookmarkStart w:id="13" w:name="_Toc118472544"/>
      <w:r>
        <w:rPr>
          <w:rFonts w:hint="eastAsia"/>
        </w:rPr>
        <w:t>功能描述</w:t>
      </w:r>
      <w:bookmarkEnd w:id="12"/>
      <w:bookmarkEnd w:id="13"/>
    </w:p>
    <w:p>
      <w:r>
        <w:rPr>
          <w:rFonts w:hint="eastAsia"/>
        </w:rPr>
        <w:t>数字</w:t>
      </w:r>
      <w:r>
        <w:rPr>
          <w:rFonts w:hint="eastAsia"/>
          <w:lang w:val="en-US" w:eastAsia="zh-CN"/>
        </w:rPr>
        <w:t>函证</w:t>
      </w:r>
      <w:r>
        <w:rPr>
          <w:rFonts w:hint="eastAsia"/>
        </w:rPr>
        <w:t>业务中，</w:t>
      </w:r>
      <w:r>
        <w:rPr>
          <w:rFonts w:hint="eastAsia"/>
          <w:lang w:val="en-US" w:eastAsia="zh-CN"/>
        </w:rPr>
        <w:t>被审计单位（企业客户）</w:t>
      </w:r>
      <w:r>
        <w:rPr>
          <w:rFonts w:hint="eastAsia"/>
        </w:rPr>
        <w:t>经办人员可在网银</w:t>
      </w:r>
      <w:r>
        <w:rPr>
          <w:rFonts w:hint="eastAsia"/>
          <w:lang w:val="en-US" w:eastAsia="zh-CN"/>
        </w:rPr>
        <w:t>页面</w:t>
      </w:r>
      <w:r>
        <w:rPr>
          <w:rFonts w:hint="eastAsia"/>
        </w:rPr>
        <w:t>函证待授权任务中，对于柜面人员提交的数字审计类询证函申请进行授权。授权通过后银行人员才可针对该笔业务进行回函操作。</w:t>
      </w:r>
    </w:p>
    <w:p>
      <w:pPr>
        <w:pStyle w:val="4"/>
      </w:pPr>
      <w:bookmarkStart w:id="14" w:name="_Toc118472545"/>
      <w:bookmarkStart w:id="15" w:name="_Toc29151"/>
      <w:r>
        <w:rPr>
          <w:rFonts w:hint="eastAsia"/>
        </w:rPr>
        <w:t>界面与操作说明</w:t>
      </w:r>
      <w:bookmarkEnd w:id="14"/>
      <w:bookmarkEnd w:id="15"/>
    </w:p>
    <w:p>
      <w:pPr>
        <w:ind w:firstLine="0" w:firstLineChars="0"/>
      </w:pPr>
      <w:r>
        <w:rPr>
          <w:rFonts w:hint="eastAsia"/>
        </w:rPr>
        <w:t>1</w:t>
      </w:r>
      <w:r>
        <w:t>.</w:t>
      </w:r>
      <w:r>
        <w:rPr>
          <w:rFonts w:hint="eastAsia"/>
        </w:rPr>
        <w:t>使用网</w:t>
      </w:r>
      <w:r>
        <w:rPr>
          <w:rFonts w:hint="eastAsia"/>
          <w:lang w:val="en-US" w:eastAsia="zh-CN"/>
        </w:rPr>
        <w:t>上银行渠道</w:t>
      </w:r>
      <w:r>
        <w:rPr>
          <w:rFonts w:hint="eastAsia"/>
        </w:rPr>
        <w:t>具有制单角色的操作员登录</w:t>
      </w:r>
      <w:r>
        <w:rPr>
          <w:rFonts w:hint="eastAsia"/>
          <w:lang w:val="en-US" w:eastAsia="zh-CN"/>
        </w:rPr>
        <w:t>网银页面</w:t>
      </w:r>
      <w:r>
        <w:rPr>
          <w:rFonts w:hint="eastAsia"/>
        </w:rPr>
        <w:t>，在服务管理-数字函证授权-函证待授权任务页面，可查看到银行</w:t>
      </w:r>
      <w:r>
        <w:rPr>
          <w:rFonts w:hint="eastAsia"/>
          <w:lang w:val="en-US" w:eastAsia="zh-CN"/>
        </w:rPr>
        <w:t>人员</w:t>
      </w:r>
      <w:r>
        <w:rPr>
          <w:rFonts w:hint="eastAsia"/>
        </w:rPr>
        <w:t>提交的函证待授权任务。</w:t>
      </w:r>
    </w:p>
    <w:p>
      <w:pPr>
        <w:ind w:firstLine="0" w:firstLineChars="0"/>
      </w:pPr>
      <w:r>
        <w:drawing>
          <wp:inline distT="0" distB="0" distL="0" distR="0">
            <wp:extent cx="5274310" cy="1447165"/>
            <wp:effectExtent l="0" t="0" r="2540" b="635"/>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9"/>
                    <a:stretch>
                      <a:fillRect/>
                    </a:stretch>
                  </pic:blipFill>
                  <pic:spPr>
                    <a:xfrm>
                      <a:off x="0" y="0"/>
                      <a:ext cx="5274310" cy="1447165"/>
                    </a:xfrm>
                    <a:prstGeom prst="rect">
                      <a:avLst/>
                    </a:prstGeom>
                  </pic:spPr>
                </pic:pic>
              </a:graphicData>
            </a:graphic>
          </wp:inline>
        </w:drawing>
      </w:r>
    </w:p>
    <w:p>
      <w:pPr>
        <w:ind w:firstLine="0" w:firstLineChars="0"/>
      </w:pPr>
      <w:r>
        <w:t>2.</w:t>
      </w:r>
      <w:r>
        <w:rPr>
          <w:rFonts w:hint="eastAsia"/>
        </w:rPr>
        <w:t>选中需处理的数字函证申请，收费账号自动反显柜面数字</w:t>
      </w:r>
      <w:r>
        <w:rPr>
          <w:rFonts w:hint="eastAsia"/>
          <w:lang w:val="en-US" w:eastAsia="zh-CN"/>
        </w:rPr>
        <w:t>函证</w:t>
      </w:r>
      <w:r>
        <w:rPr>
          <w:rFonts w:hint="eastAsia"/>
        </w:rPr>
        <w:t>编号申请时填写的授权扣费账户。制单员也可以选择客户名下有权限的其他活期账户作为手续费扣费账户。点击可用余额后的查看按钮，可查看所选账户的可用余额。</w:t>
      </w:r>
    </w:p>
    <w:p>
      <w:pPr>
        <w:ind w:firstLine="0" w:firstLineChars="0"/>
      </w:pPr>
      <w:r>
        <w:drawing>
          <wp:inline distT="0" distB="0" distL="0" distR="0">
            <wp:extent cx="5274310" cy="1697990"/>
            <wp:effectExtent l="0" t="0" r="254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10"/>
                    <a:stretch>
                      <a:fillRect/>
                    </a:stretch>
                  </pic:blipFill>
                  <pic:spPr>
                    <a:xfrm>
                      <a:off x="0" y="0"/>
                      <a:ext cx="5274310" cy="1697990"/>
                    </a:xfrm>
                    <a:prstGeom prst="rect">
                      <a:avLst/>
                    </a:prstGeom>
                  </pic:spPr>
                </pic:pic>
              </a:graphicData>
            </a:graphic>
          </wp:inline>
        </w:drawing>
      </w:r>
    </w:p>
    <w:p>
      <w:pPr>
        <w:ind w:firstLine="0" w:firstLineChars="0"/>
      </w:pPr>
      <w:r>
        <w:rPr>
          <w:rFonts w:hint="eastAsia"/>
        </w:rPr>
        <w:t>3</w:t>
      </w:r>
      <w:r>
        <w:t>.</w:t>
      </w:r>
      <w:r>
        <w:rPr>
          <w:rFonts w:hint="eastAsia"/>
        </w:rPr>
        <w:t>用户点击附件链接，可下载查看银行人员上传的数字函证申请文件。</w:t>
      </w:r>
    </w:p>
    <w:p>
      <w:pPr>
        <w:ind w:firstLine="0" w:firstLineChars="0"/>
      </w:pPr>
      <w:r>
        <w:drawing>
          <wp:inline distT="0" distB="0" distL="0" distR="0">
            <wp:extent cx="5274310" cy="1165860"/>
            <wp:effectExtent l="0" t="0" r="254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11"/>
                    <a:stretch>
                      <a:fillRect/>
                    </a:stretch>
                  </pic:blipFill>
                  <pic:spPr>
                    <a:xfrm>
                      <a:off x="0" y="0"/>
                      <a:ext cx="5274310" cy="1165860"/>
                    </a:xfrm>
                    <a:prstGeom prst="rect">
                      <a:avLst/>
                    </a:prstGeom>
                  </pic:spPr>
                </pic:pic>
              </a:graphicData>
            </a:graphic>
          </wp:inline>
        </w:drawing>
      </w:r>
    </w:p>
    <w:p>
      <w:pPr>
        <w:ind w:firstLine="0" w:firstLineChars="0"/>
      </w:pPr>
      <w:r>
        <w:rPr>
          <w:rFonts w:hint="eastAsia"/>
        </w:rPr>
        <w:t>4</w:t>
      </w:r>
      <w:r>
        <w:t>.</w:t>
      </w:r>
      <w:r>
        <w:rPr>
          <w:rFonts w:hint="eastAsia"/>
        </w:rPr>
        <w:t>用户可选择授权通过或授权不通过， 授权通过即代表</w:t>
      </w:r>
      <w:r>
        <w:rPr>
          <w:rFonts w:hint="eastAsia"/>
          <w:lang w:val="en-US" w:eastAsia="zh-CN"/>
        </w:rPr>
        <w:t>被审计单位（企业客户）</w:t>
      </w:r>
      <w:r>
        <w:rPr>
          <w:rFonts w:hint="eastAsia"/>
        </w:rPr>
        <w:t>授权银行对于函证平台的</w:t>
      </w:r>
      <w:r>
        <w:rPr>
          <w:rFonts w:hint="eastAsia"/>
          <w:lang w:val="en-US" w:eastAsia="zh-CN"/>
        </w:rPr>
        <w:t>数字函证</w:t>
      </w:r>
      <w:r>
        <w:rPr>
          <w:rFonts w:hint="eastAsia"/>
        </w:rPr>
        <w:t>申请进行处理，系统将校验账户余额是否大于等于收费金额，并在该笔业务复核通过后进行自动扣费。授权不通过即代表</w:t>
      </w:r>
      <w:r>
        <w:rPr>
          <w:rFonts w:hint="eastAsia"/>
          <w:lang w:val="en-US" w:eastAsia="zh-CN"/>
        </w:rPr>
        <w:t>被审计单位（企业客户）</w:t>
      </w:r>
      <w:r>
        <w:rPr>
          <w:rFonts w:hint="eastAsia"/>
        </w:rPr>
        <w:t>不允许银行对于函证平台的</w:t>
      </w:r>
      <w:r>
        <w:rPr>
          <w:rFonts w:hint="eastAsia"/>
          <w:lang w:val="en-US" w:eastAsia="zh-CN"/>
        </w:rPr>
        <w:t>数字函证</w:t>
      </w:r>
      <w:r>
        <w:rPr>
          <w:rFonts w:hint="eastAsia"/>
        </w:rPr>
        <w:t>申请进行处理，系统将在该笔业务复核通过后将业务置为“授权不通过”状态，且银行</w:t>
      </w:r>
      <w:r>
        <w:rPr>
          <w:rFonts w:hint="eastAsia"/>
          <w:lang w:val="en-US" w:eastAsia="zh-CN"/>
        </w:rPr>
        <w:t>人员</w:t>
      </w:r>
      <w:r>
        <w:rPr>
          <w:rFonts w:hint="eastAsia"/>
        </w:rPr>
        <w:t>不可继续进行</w:t>
      </w:r>
      <w:r>
        <w:rPr>
          <w:rFonts w:hint="eastAsia"/>
          <w:lang w:val="en-US" w:eastAsia="zh-CN"/>
        </w:rPr>
        <w:t>回函</w:t>
      </w:r>
      <w:r>
        <w:rPr>
          <w:rFonts w:hint="eastAsia"/>
        </w:rPr>
        <w:t>开立操作。</w:t>
      </w:r>
    </w:p>
    <w:p>
      <w:pPr>
        <w:ind w:firstLine="0" w:firstLineChars="0"/>
      </w:pPr>
      <w:r>
        <w:drawing>
          <wp:inline distT="0" distB="0" distL="0" distR="0">
            <wp:extent cx="5274310" cy="1993265"/>
            <wp:effectExtent l="0" t="0" r="2540" b="698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12"/>
                    <a:stretch>
                      <a:fillRect/>
                    </a:stretch>
                  </pic:blipFill>
                  <pic:spPr>
                    <a:xfrm>
                      <a:off x="0" y="0"/>
                      <a:ext cx="5274310" cy="1993265"/>
                    </a:xfrm>
                    <a:prstGeom prst="rect">
                      <a:avLst/>
                    </a:prstGeom>
                  </pic:spPr>
                </pic:pic>
              </a:graphicData>
            </a:graphic>
          </wp:inline>
        </w:drawing>
      </w:r>
    </w:p>
    <w:p>
      <w:pPr>
        <w:ind w:firstLine="0" w:firstLineChars="0"/>
        <w:rPr>
          <w:rFonts w:hint="eastAsia" w:eastAsia="幼圆"/>
          <w:lang w:eastAsia="zh-CN"/>
        </w:rPr>
      </w:pPr>
      <w:r>
        <w:rPr>
          <w:rFonts w:hint="eastAsia"/>
        </w:rPr>
        <w:t>5</w:t>
      </w:r>
      <w:r>
        <w:t>.</w:t>
      </w:r>
      <w:r>
        <w:rPr>
          <w:rFonts w:hint="eastAsia"/>
        </w:rPr>
        <w:t>经办人员输入交易密码确认后，该笔业务将流转至复核人员进行复核</w:t>
      </w:r>
      <w:r>
        <w:rPr>
          <w:rFonts w:hint="eastAsia"/>
          <w:lang w:eastAsia="zh-CN"/>
        </w:rPr>
        <w:t>。</w:t>
      </w:r>
    </w:p>
    <w:p>
      <w:pPr>
        <w:ind w:firstLine="0" w:firstLineChars="0"/>
      </w:pPr>
      <w:r>
        <w:drawing>
          <wp:inline distT="0" distB="0" distL="0" distR="0">
            <wp:extent cx="5274310" cy="2066290"/>
            <wp:effectExtent l="0" t="0" r="254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3"/>
                    <a:stretch>
                      <a:fillRect/>
                    </a:stretch>
                  </pic:blipFill>
                  <pic:spPr>
                    <a:xfrm>
                      <a:off x="0" y="0"/>
                      <a:ext cx="5274310" cy="2066290"/>
                    </a:xfrm>
                    <a:prstGeom prst="rect">
                      <a:avLst/>
                    </a:prstGeom>
                  </pic:spPr>
                </pic:pic>
              </a:graphicData>
            </a:graphic>
          </wp:inline>
        </w:drawing>
      </w:r>
    </w:p>
    <w:p>
      <w:pPr>
        <w:pStyle w:val="4"/>
      </w:pPr>
      <w:bookmarkStart w:id="16" w:name="_Toc118472546"/>
      <w:bookmarkStart w:id="17" w:name="_Toc12947"/>
      <w:r>
        <w:rPr>
          <w:rFonts w:hint="eastAsia"/>
        </w:rPr>
        <w:t>注意事项</w:t>
      </w:r>
      <w:bookmarkEnd w:id="16"/>
      <w:bookmarkEnd w:id="17"/>
    </w:p>
    <w:p>
      <w:pPr>
        <w:ind w:firstLine="0" w:firstLineChars="0"/>
      </w:pPr>
      <w:r>
        <w:rPr>
          <w:rFonts w:hint="eastAsia"/>
        </w:rPr>
        <w:t>1、函证待授权流程步骤复用转账业务的流程步骤。</w:t>
      </w:r>
    </w:p>
    <w:p>
      <w:pPr>
        <w:pStyle w:val="3"/>
      </w:pPr>
      <w:bookmarkStart w:id="18" w:name="_Toc23889"/>
      <w:bookmarkStart w:id="19" w:name="_Toc118472547"/>
      <w:r>
        <w:rPr>
          <w:rFonts w:hint="eastAsia"/>
        </w:rPr>
        <w:t>数字函证授权复核</w:t>
      </w:r>
      <w:bookmarkEnd w:id="18"/>
      <w:bookmarkEnd w:id="19"/>
    </w:p>
    <w:p>
      <w:pPr>
        <w:pStyle w:val="4"/>
      </w:pPr>
      <w:bookmarkStart w:id="20" w:name="_Toc1655"/>
      <w:bookmarkStart w:id="21" w:name="_Toc118472548"/>
      <w:r>
        <w:rPr>
          <w:rFonts w:hint="eastAsia"/>
        </w:rPr>
        <w:t>功能描述</w:t>
      </w:r>
      <w:bookmarkEnd w:id="20"/>
      <w:bookmarkEnd w:id="21"/>
    </w:p>
    <w:p>
      <w:r>
        <w:rPr>
          <w:rFonts w:hint="eastAsia"/>
        </w:rPr>
        <w:t>数字</w:t>
      </w:r>
      <w:r>
        <w:rPr>
          <w:rFonts w:hint="eastAsia"/>
          <w:lang w:val="en-US" w:eastAsia="zh-CN"/>
        </w:rPr>
        <w:t>函证</w:t>
      </w:r>
      <w:r>
        <w:rPr>
          <w:rFonts w:hint="eastAsia"/>
        </w:rPr>
        <w:t>业务中，</w:t>
      </w:r>
      <w:r>
        <w:rPr>
          <w:rFonts w:hint="eastAsia"/>
          <w:lang w:val="en-US" w:eastAsia="zh-CN"/>
        </w:rPr>
        <w:t>被审计单位（企业客户）</w:t>
      </w:r>
      <w:r>
        <w:rPr>
          <w:rFonts w:hint="eastAsia"/>
        </w:rPr>
        <w:t>复核人员可对经办人员提交的函证授权单据进行复核。</w:t>
      </w:r>
    </w:p>
    <w:p>
      <w:pPr>
        <w:pStyle w:val="4"/>
      </w:pPr>
      <w:bookmarkStart w:id="22" w:name="_Toc118472549"/>
      <w:bookmarkStart w:id="23" w:name="_Toc32537"/>
      <w:r>
        <w:rPr>
          <w:rFonts w:hint="eastAsia"/>
        </w:rPr>
        <w:t>界面与操作说明</w:t>
      </w:r>
      <w:bookmarkEnd w:id="22"/>
      <w:bookmarkEnd w:id="23"/>
    </w:p>
    <w:p>
      <w:pPr>
        <w:ind w:firstLine="0" w:firstLineChars="0"/>
      </w:pPr>
      <w:r>
        <w:rPr>
          <w:rFonts w:hint="eastAsia"/>
        </w:rPr>
        <w:t>1</w:t>
      </w:r>
      <w:r>
        <w:t>.</w:t>
      </w:r>
      <w:r>
        <w:rPr>
          <w:rFonts w:hint="eastAsia"/>
          <w:lang w:val="en-US" w:eastAsia="zh-CN"/>
        </w:rPr>
        <w:t>被审计单位（企业客户）</w:t>
      </w:r>
      <w:r>
        <w:rPr>
          <w:rFonts w:hint="eastAsia"/>
        </w:rPr>
        <w:t>具有复核角色的操作员登录</w:t>
      </w:r>
      <w:r>
        <w:rPr>
          <w:rFonts w:hint="eastAsia"/>
          <w:lang w:val="en-US" w:eastAsia="zh-CN"/>
        </w:rPr>
        <w:t>网银页面</w:t>
      </w:r>
      <w:r>
        <w:rPr>
          <w:rFonts w:hint="eastAsia"/>
        </w:rPr>
        <w:t>，进入服务管理-数字函证授权-复核待办页面，可以查询到经办操作员提交的函证待授权单据。</w:t>
      </w:r>
    </w:p>
    <w:p>
      <w:pPr>
        <w:ind w:firstLine="0" w:firstLineChars="0"/>
      </w:pPr>
      <w:r>
        <w:drawing>
          <wp:inline distT="0" distB="0" distL="0" distR="0">
            <wp:extent cx="5274310" cy="1420495"/>
            <wp:effectExtent l="0" t="0" r="2540" b="825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14"/>
                    <a:stretch>
                      <a:fillRect/>
                    </a:stretch>
                  </pic:blipFill>
                  <pic:spPr>
                    <a:xfrm>
                      <a:off x="0" y="0"/>
                      <a:ext cx="5274310" cy="1420495"/>
                    </a:xfrm>
                    <a:prstGeom prst="rect">
                      <a:avLst/>
                    </a:prstGeom>
                  </pic:spPr>
                </pic:pic>
              </a:graphicData>
            </a:graphic>
          </wp:inline>
        </w:drawing>
      </w:r>
    </w:p>
    <w:p>
      <w:pPr>
        <w:ind w:firstLine="0" w:firstLineChars="0"/>
      </w:pPr>
      <w:r>
        <w:rPr>
          <w:rFonts w:hint="eastAsia"/>
        </w:rPr>
        <w:t>2</w:t>
      </w:r>
      <w:r>
        <w:t>.</w:t>
      </w:r>
      <w:r>
        <w:rPr>
          <w:rFonts w:hint="eastAsia"/>
        </w:rPr>
        <w:t>用户可选择通过或者不通过，进入下一步</w:t>
      </w:r>
    </w:p>
    <w:p>
      <w:pPr>
        <w:ind w:firstLine="0" w:firstLineChars="0"/>
      </w:pPr>
      <w:r>
        <w:drawing>
          <wp:inline distT="0" distB="0" distL="0" distR="0">
            <wp:extent cx="5274310" cy="1900555"/>
            <wp:effectExtent l="0" t="0" r="2540" b="4445"/>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5"/>
                    <a:stretch>
                      <a:fillRect/>
                    </a:stretch>
                  </pic:blipFill>
                  <pic:spPr>
                    <a:xfrm>
                      <a:off x="0" y="0"/>
                      <a:ext cx="5274310" cy="1900555"/>
                    </a:xfrm>
                    <a:prstGeom prst="rect">
                      <a:avLst/>
                    </a:prstGeom>
                  </pic:spPr>
                </pic:pic>
              </a:graphicData>
            </a:graphic>
          </wp:inline>
        </w:drawing>
      </w:r>
    </w:p>
    <w:p>
      <w:pPr>
        <w:ind w:firstLine="0" w:firstLineChars="0"/>
      </w:pPr>
      <w:r>
        <w:rPr>
          <w:rFonts w:hint="eastAsia"/>
        </w:rPr>
        <w:t>（1）当</w:t>
      </w:r>
      <w:r>
        <w:rPr>
          <w:rFonts w:hint="eastAsia"/>
          <w:lang w:val="en-US" w:eastAsia="zh-CN"/>
        </w:rPr>
        <w:t>经办人</w:t>
      </w:r>
      <w:r>
        <w:rPr>
          <w:rFonts w:hint="eastAsia"/>
        </w:rPr>
        <w:t>员选择授权通过，复核</w:t>
      </w:r>
      <w:r>
        <w:rPr>
          <w:rFonts w:hint="eastAsia"/>
          <w:lang w:val="en-US" w:eastAsia="zh-CN"/>
        </w:rPr>
        <w:t>人</w:t>
      </w:r>
      <w:r>
        <w:rPr>
          <w:rFonts w:hint="eastAsia"/>
        </w:rPr>
        <w:t>员选择复核通过并确认后，系统将自动根据收费账户及收费金额进行手续费扣费。</w:t>
      </w:r>
    </w:p>
    <w:p>
      <w:pPr>
        <w:ind w:firstLine="0" w:firstLineChars="0"/>
      </w:pPr>
      <w:r>
        <w:rPr>
          <w:rFonts w:hint="eastAsia"/>
        </w:rPr>
        <w:t>（</w:t>
      </w:r>
      <w:r>
        <w:t>2</w:t>
      </w:r>
      <w:r>
        <w:rPr>
          <w:rFonts w:hint="eastAsia"/>
        </w:rPr>
        <w:t>）当</w:t>
      </w:r>
      <w:r>
        <w:rPr>
          <w:rFonts w:hint="eastAsia"/>
          <w:lang w:val="en-US" w:eastAsia="zh-CN"/>
        </w:rPr>
        <w:t>经办人</w:t>
      </w:r>
      <w:r>
        <w:rPr>
          <w:rFonts w:hint="eastAsia"/>
        </w:rPr>
        <w:t>员选择授权通过，复核</w:t>
      </w:r>
      <w:r>
        <w:rPr>
          <w:rFonts w:hint="eastAsia"/>
          <w:lang w:val="en-US" w:eastAsia="zh-CN"/>
        </w:rPr>
        <w:t>人</w:t>
      </w:r>
      <w:r>
        <w:rPr>
          <w:rFonts w:hint="eastAsia"/>
        </w:rPr>
        <w:t>员选择不通过并确认后，该笔业务将重新回到经办人员的函证待授权任务中，需重新进行授权处理。</w:t>
      </w:r>
    </w:p>
    <w:p>
      <w:pPr>
        <w:ind w:firstLine="0" w:firstLineChars="0"/>
      </w:pPr>
      <w:r>
        <w:rPr>
          <w:rFonts w:hint="eastAsia"/>
        </w:rPr>
        <w:t>（3）当</w:t>
      </w:r>
      <w:r>
        <w:rPr>
          <w:rFonts w:hint="eastAsia"/>
          <w:lang w:val="en-US" w:eastAsia="zh-CN"/>
        </w:rPr>
        <w:t>经办人</w:t>
      </w:r>
      <w:r>
        <w:rPr>
          <w:rFonts w:hint="eastAsia"/>
        </w:rPr>
        <w:t>员选择授权不通过，复核</w:t>
      </w:r>
      <w:r>
        <w:rPr>
          <w:rFonts w:hint="eastAsia"/>
          <w:lang w:val="en-US" w:eastAsia="zh-CN"/>
        </w:rPr>
        <w:t>人</w:t>
      </w:r>
      <w:r>
        <w:rPr>
          <w:rFonts w:hint="eastAsia"/>
        </w:rPr>
        <w:t>员选择复核通过并确认后，该笔业务将变为授权不通过状态，且银行人员不可对该笔数字函证进行回函操作。</w:t>
      </w:r>
    </w:p>
    <w:p>
      <w:pPr>
        <w:ind w:firstLine="0" w:firstLineChars="0"/>
      </w:pPr>
      <w:r>
        <w:rPr>
          <w:rFonts w:hint="eastAsia"/>
        </w:rPr>
        <w:t>（4）当</w:t>
      </w:r>
      <w:r>
        <w:rPr>
          <w:rFonts w:hint="eastAsia"/>
          <w:lang w:val="en-US" w:eastAsia="zh-CN"/>
        </w:rPr>
        <w:t>经办人</w:t>
      </w:r>
      <w:r>
        <w:rPr>
          <w:rFonts w:hint="eastAsia"/>
        </w:rPr>
        <w:t>员选择授权不通过，复核</w:t>
      </w:r>
      <w:r>
        <w:rPr>
          <w:rFonts w:hint="eastAsia"/>
          <w:lang w:val="en-US" w:eastAsia="zh-CN"/>
        </w:rPr>
        <w:t>人</w:t>
      </w:r>
      <w:r>
        <w:rPr>
          <w:rFonts w:hint="eastAsia"/>
        </w:rPr>
        <w:t>员选择复核不通过并确认后，该笔业务将重新回到经办人员的函证待授权任务中，需重新进行授权处理。</w:t>
      </w:r>
    </w:p>
    <w:p>
      <w:pPr>
        <w:pStyle w:val="3"/>
      </w:pPr>
      <w:bookmarkStart w:id="24" w:name="_Toc25761"/>
      <w:bookmarkStart w:id="25" w:name="_Toc118472551"/>
      <w:r>
        <w:rPr>
          <w:rFonts w:hint="eastAsia"/>
        </w:rPr>
        <w:t>数字函证授权流水查询</w:t>
      </w:r>
      <w:bookmarkEnd w:id="24"/>
      <w:bookmarkEnd w:id="25"/>
    </w:p>
    <w:p>
      <w:pPr>
        <w:pStyle w:val="4"/>
      </w:pPr>
      <w:bookmarkStart w:id="26" w:name="_Toc29313"/>
      <w:bookmarkStart w:id="27" w:name="_Toc118472552"/>
      <w:r>
        <w:rPr>
          <w:rFonts w:hint="eastAsia"/>
        </w:rPr>
        <w:t>功能描述</w:t>
      </w:r>
      <w:bookmarkEnd w:id="26"/>
      <w:bookmarkEnd w:id="27"/>
    </w:p>
    <w:p>
      <w:r>
        <w:rPr>
          <w:rFonts w:hint="eastAsia"/>
          <w:lang w:val="en-US" w:eastAsia="zh-CN"/>
        </w:rPr>
        <w:t>被审计单位（企业客户）网上银行渠道</w:t>
      </w:r>
      <w:r>
        <w:rPr>
          <w:rFonts w:hint="eastAsia"/>
        </w:rPr>
        <w:t>经办人员、复核人员与主管可以查看数字函证授权流水。经办和复核角色的操作员仅可查看自己制单或复核的流水，主管可以查看所有流水。</w:t>
      </w:r>
    </w:p>
    <w:p>
      <w:pPr>
        <w:pStyle w:val="4"/>
      </w:pPr>
      <w:bookmarkStart w:id="28" w:name="_Toc79"/>
      <w:bookmarkStart w:id="29" w:name="_Toc118472553"/>
      <w:r>
        <w:rPr>
          <w:rFonts w:hint="eastAsia"/>
        </w:rPr>
        <w:t>界面与操作说明</w:t>
      </w:r>
      <w:bookmarkEnd w:id="28"/>
      <w:bookmarkEnd w:id="29"/>
    </w:p>
    <w:p>
      <w:pPr>
        <w:pStyle w:val="7"/>
        <w:numPr>
          <w:numId w:val="0"/>
        </w:numPr>
        <w:ind w:left="420" w:leftChars="0"/>
        <w:rPr>
          <w:rFonts w:hint="eastAsia" w:ascii="Times New Roman" w:hAnsi="Times New Roman" w:eastAsia="幼圆" w:cs="Times New Roman"/>
          <w:kern w:val="2"/>
          <w:sz w:val="21"/>
          <w:szCs w:val="24"/>
          <w:lang w:val="en-US" w:eastAsia="zh-CN" w:bidi="ar-SA"/>
        </w:rPr>
      </w:pPr>
      <w:r>
        <w:rPr>
          <w:rFonts w:hint="eastAsia" w:ascii="Times New Roman" w:eastAsia="幼圆" w:cs="Times New Roman"/>
          <w:kern w:val="2"/>
          <w:sz w:val="21"/>
          <w:szCs w:val="24"/>
          <w:lang w:val="en-US" w:eastAsia="zh-CN" w:bidi="ar-SA"/>
        </w:rPr>
        <w:t>1.</w:t>
      </w:r>
      <w:r>
        <w:rPr>
          <w:rFonts w:hint="eastAsia" w:ascii="Times New Roman" w:hAnsi="Times New Roman" w:eastAsia="幼圆" w:cs="Times New Roman"/>
          <w:kern w:val="2"/>
          <w:sz w:val="21"/>
          <w:szCs w:val="24"/>
          <w:lang w:val="en-US" w:eastAsia="zh-CN" w:bidi="ar-SA"/>
        </w:rPr>
        <w:t>使用网上银行渠道操作员登录网银页面，进入服务管理-数字函证授权-授权流水查询页面。可根据日期区间、单据状态、函证状态进行筛选查询。</w:t>
      </w:r>
    </w:p>
    <w:p>
      <w:pPr>
        <w:ind w:firstLineChars="0"/>
      </w:pPr>
      <w:r>
        <w:drawing>
          <wp:inline distT="0" distB="0" distL="0" distR="0">
            <wp:extent cx="5274310" cy="17043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1704340"/>
                    </a:xfrm>
                    <a:prstGeom prst="rect">
                      <a:avLst/>
                    </a:prstGeom>
                  </pic:spPr>
                </pic:pic>
              </a:graphicData>
            </a:graphic>
          </wp:inline>
        </w:drawing>
      </w:r>
    </w:p>
    <w:p>
      <w:pPr>
        <w:pStyle w:val="7"/>
        <w:numPr>
          <w:ilvl w:val="0"/>
          <w:numId w:val="0"/>
        </w:numPr>
        <w:ind w:left="420" w:leftChars="0"/>
        <w:rPr>
          <w:rFonts w:hint="eastAsia" w:ascii="Times New Roman" w:hAnsi="Times New Roman" w:eastAsia="幼圆" w:cs="Times New Roman"/>
          <w:kern w:val="2"/>
          <w:sz w:val="21"/>
          <w:szCs w:val="24"/>
          <w:lang w:val="en-US" w:eastAsia="zh-CN" w:bidi="ar-SA"/>
        </w:rPr>
      </w:pPr>
      <w:r>
        <w:rPr>
          <w:rFonts w:hint="eastAsia" w:ascii="Times New Roman" w:hAnsi="Times New Roman" w:eastAsia="幼圆" w:cs="Times New Roman"/>
          <w:kern w:val="2"/>
          <w:sz w:val="21"/>
          <w:szCs w:val="24"/>
          <w:lang w:val="en-US" w:eastAsia="zh-CN" w:bidi="ar-SA"/>
        </w:rPr>
        <w:t>2.输入查询条件后，点击下一步，可进入流水查询列表。</w:t>
      </w:r>
    </w:p>
    <w:p>
      <w:pPr>
        <w:ind w:left="420" w:firstLine="0" w:firstLineChars="0"/>
      </w:pPr>
      <w:r>
        <w:drawing>
          <wp:inline distT="0" distB="0" distL="0" distR="0">
            <wp:extent cx="5274310" cy="1562735"/>
            <wp:effectExtent l="0" t="0" r="254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17"/>
                    <a:stretch>
                      <a:fillRect/>
                    </a:stretch>
                  </pic:blipFill>
                  <pic:spPr>
                    <a:xfrm>
                      <a:off x="0" y="0"/>
                      <a:ext cx="5274310" cy="1562735"/>
                    </a:xfrm>
                    <a:prstGeom prst="rect">
                      <a:avLst/>
                    </a:prstGeom>
                  </pic:spPr>
                </pic:pic>
              </a:graphicData>
            </a:graphic>
          </wp:inline>
        </w:drawing>
      </w:r>
    </w:p>
    <w:p>
      <w:pPr>
        <w:pStyle w:val="7"/>
        <w:numPr>
          <w:ilvl w:val="0"/>
          <w:numId w:val="0"/>
        </w:numPr>
        <w:ind w:left="420" w:leftChars="0"/>
        <w:rPr>
          <w:rFonts w:hint="eastAsia" w:ascii="Times New Roman" w:hAnsi="Times New Roman" w:eastAsia="幼圆" w:cs="Times New Roman"/>
          <w:kern w:val="2"/>
          <w:sz w:val="21"/>
          <w:szCs w:val="24"/>
          <w:lang w:val="en-US" w:eastAsia="zh-CN" w:bidi="ar-SA"/>
        </w:rPr>
      </w:pPr>
      <w:r>
        <w:rPr>
          <w:rFonts w:hint="eastAsia" w:ascii="Times New Roman" w:hAnsi="Times New Roman" w:eastAsia="幼圆" w:cs="Times New Roman"/>
          <w:kern w:val="2"/>
          <w:sz w:val="21"/>
          <w:szCs w:val="24"/>
          <w:lang w:val="en-US" w:eastAsia="zh-CN" w:bidi="ar-SA"/>
        </w:rPr>
        <w:t>3.点击流水号，可查看授权流水详情。</w:t>
      </w:r>
    </w:p>
    <w:p>
      <w:pPr>
        <w:ind w:left="420" w:firstLine="0" w:firstLineChars="0"/>
      </w:pPr>
      <w:r>
        <w:drawing>
          <wp:inline distT="0" distB="0" distL="0" distR="0">
            <wp:extent cx="5274310" cy="2104390"/>
            <wp:effectExtent l="0" t="0" r="254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18"/>
                    <a:stretch>
                      <a:fillRect/>
                    </a:stretch>
                  </pic:blipFill>
                  <pic:spPr>
                    <a:xfrm>
                      <a:off x="0" y="0"/>
                      <a:ext cx="5274310" cy="2104390"/>
                    </a:xfrm>
                    <a:prstGeom prst="rect">
                      <a:avLst/>
                    </a:prstGeom>
                  </pic:spPr>
                </pic:pic>
              </a:graphicData>
            </a:graphic>
          </wp:inline>
        </w:drawing>
      </w:r>
    </w:p>
    <w:p/>
    <w:p/>
    <w:p>
      <w:pPr>
        <w:ind w:firstLine="422" w:firstLineChars="200"/>
        <w:rPr>
          <w:rFonts w:hint="default"/>
          <w:b/>
          <w:bCs/>
          <w:lang w:val="en-US" w:eastAsia="zh-CN"/>
        </w:rPr>
      </w:pPr>
      <w:r>
        <w:rPr>
          <w:rFonts w:hint="eastAsia"/>
          <w:b/>
          <w:bCs/>
          <w:lang w:val="en-US" w:eastAsia="zh-CN"/>
        </w:rPr>
        <w:t>中国进出口银行网上银行客服中心电话：010-64099955  工作时间：8:30-17:00</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华光中等线_CNKI">
    <w:panose1 w:val="02000500000000000000"/>
    <w:charset w:val="86"/>
    <w:family w:val="auto"/>
    <w:pitch w:val="default"/>
    <w:sig w:usb0="A00002BF" w:usb1="38CF7CFA" w:usb2="00000016" w:usb3="00000000" w:csb0="0004000F" w:csb1="00000000"/>
  </w:font>
  <w:font w:name="华光中圆_CNKI">
    <w:panose1 w:val="02000500000000000000"/>
    <w:charset w:val="86"/>
    <w:family w:val="auto"/>
    <w:pitch w:val="default"/>
    <w:sig w:usb0="A00002BF" w:usb1="1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3F448F"/>
    <w:multiLevelType w:val="multilevel"/>
    <w:tmpl w:val="633F448F"/>
    <w:lvl w:ilvl="0" w:tentative="0">
      <w:start w:val="1"/>
      <w:numFmt w:val="decimal"/>
      <w:pStyle w:val="2"/>
      <w:lvlText w:val="%1."/>
      <w:lvlJc w:val="left"/>
      <w:pPr>
        <w:tabs>
          <w:tab w:val="left" w:pos="0"/>
        </w:tabs>
        <w:ind w:left="0" w:firstLine="0"/>
      </w:pPr>
      <w:rPr>
        <w:rFonts w:hint="eastAsia"/>
      </w:rPr>
    </w:lvl>
    <w:lvl w:ilvl="1" w:tentative="0">
      <w:start w:val="1"/>
      <w:numFmt w:val="decimal"/>
      <w:pStyle w:val="3"/>
      <w:lvlText w:val="%1.%2"/>
      <w:lvlJc w:val="left"/>
      <w:pPr>
        <w:tabs>
          <w:tab w:val="left" w:pos="0"/>
        </w:tabs>
        <w:ind w:left="0" w:firstLine="0"/>
      </w:pPr>
      <w:rPr>
        <w:rFonts w:hint="eastAsia"/>
      </w:rPr>
    </w:lvl>
    <w:lvl w:ilvl="2" w:tentative="0">
      <w:start w:val="1"/>
      <w:numFmt w:val="decimal"/>
      <w:pStyle w:val="4"/>
      <w:lvlText w:val="%1.%2.%3"/>
      <w:lvlJc w:val="left"/>
      <w:pPr>
        <w:tabs>
          <w:tab w:val="left" w:pos="0"/>
        </w:tabs>
        <w:ind w:left="0" w:firstLine="0"/>
      </w:pPr>
      <w:rPr>
        <w:rFonts w:hint="eastAsia"/>
        <w:color w:val="auto"/>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711C4B"/>
    <w:rsid w:val="00DA4535"/>
    <w:rsid w:val="14711C4B"/>
    <w:rsid w:val="26BC42DB"/>
    <w:rsid w:val="27407A75"/>
    <w:rsid w:val="2AF66130"/>
    <w:rsid w:val="5C8B0D0F"/>
    <w:rsid w:val="6E06002C"/>
    <w:rsid w:val="71A375BB"/>
    <w:rsid w:val="77B70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pPr>
    <w:rPr>
      <w:rFonts w:ascii="Times New Roman" w:hAnsi="Times New Roman" w:eastAsia="幼圆" w:cs="Times New Roman"/>
      <w:kern w:val="2"/>
      <w:sz w:val="21"/>
      <w:szCs w:val="24"/>
      <w:lang w:val="en-US" w:eastAsia="zh-CN" w:bidi="ar-SA"/>
    </w:rPr>
  </w:style>
  <w:style w:type="paragraph" w:styleId="2">
    <w:name w:val="heading 1"/>
    <w:basedOn w:val="1"/>
    <w:next w:val="1"/>
    <w:qFormat/>
    <w:uiPriority w:val="9"/>
    <w:pPr>
      <w:keepNext/>
      <w:keepLines/>
      <w:numPr>
        <w:ilvl w:val="0"/>
        <w:numId w:val="1"/>
      </w:numPr>
      <w:spacing w:before="240" w:after="120"/>
      <w:ind w:firstLineChars="0"/>
      <w:outlineLvl w:val="0"/>
    </w:pPr>
    <w:rPr>
      <w:rFonts w:eastAsia="黑体"/>
      <w:b/>
      <w:bCs/>
      <w:kern w:val="44"/>
      <w:sz w:val="30"/>
      <w:szCs w:val="44"/>
    </w:rPr>
  </w:style>
  <w:style w:type="paragraph" w:styleId="3">
    <w:name w:val="heading 2"/>
    <w:basedOn w:val="1"/>
    <w:next w:val="1"/>
    <w:qFormat/>
    <w:uiPriority w:val="9"/>
    <w:pPr>
      <w:keepNext/>
      <w:keepLines/>
      <w:numPr>
        <w:ilvl w:val="1"/>
        <w:numId w:val="1"/>
      </w:numPr>
      <w:spacing w:before="120" w:after="120"/>
      <w:ind w:firstLineChars="0"/>
      <w:outlineLvl w:val="1"/>
    </w:pPr>
    <w:rPr>
      <w:rFonts w:ascii="Arial" w:hAnsi="Arial" w:eastAsia="微软雅黑"/>
      <w:b/>
      <w:bCs/>
      <w:sz w:val="24"/>
      <w:szCs w:val="32"/>
    </w:rPr>
  </w:style>
  <w:style w:type="paragraph" w:styleId="4">
    <w:name w:val="heading 3"/>
    <w:basedOn w:val="1"/>
    <w:next w:val="1"/>
    <w:qFormat/>
    <w:uiPriority w:val="9"/>
    <w:pPr>
      <w:keepNext/>
      <w:keepLines/>
      <w:numPr>
        <w:ilvl w:val="2"/>
        <w:numId w:val="1"/>
      </w:numPr>
      <w:spacing w:before="120" w:after="120"/>
      <w:ind w:firstLineChars="0"/>
      <w:outlineLvl w:val="2"/>
    </w:pPr>
    <w:rPr>
      <w:rFonts w:eastAsia="黑体"/>
      <w:b/>
      <w:bCs/>
      <w:sz w:val="24"/>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7">
    <w:name w:val="List Paragraph"/>
    <w:basedOn w:val="1"/>
    <w:qFormat/>
    <w:uiPriority w:val="34"/>
    <w:pPr>
      <w:jc w:val="both"/>
    </w:pPr>
    <w:rPr>
      <w:rFonts w:ascii="宋体" w:eastAsia="宋体"/>
      <w:sz w:val="2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2022-12-08T06:50:00Z</dcterms:created>
  <dc:creator>zh-ful</dc:creator>
  <cp:lastModifiedBy>zh-ful</cp:lastModifiedBy>
  <dcterms:modified xsi:type="dcterms:W3CDTF">2022-12-20T01:39:29Z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2B5AA27EF9DB40F4B183BA1BC65FD354</vt:lpwstr>
  </property>
</Properties>
</file>