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702F2">
      <w:pPr>
        <w:pageBreakBefore/>
        <w:adjustRightInd w:val="0"/>
        <w:snapToGrid w:val="0"/>
        <w:spacing w:line="360" w:lineRule="auto"/>
        <w:jc w:val="center"/>
        <w:outlineLvl w:val="0"/>
        <w:rPr>
          <w:rFonts w:hint="eastAsia" w:ascii="仿宋" w:hAnsi="仿宋" w:eastAsia="仿宋" w:cs="仿宋"/>
          <w:b/>
          <w:color w:val="auto"/>
          <w:w w:val="80"/>
          <w:sz w:val="36"/>
          <w:szCs w:val="36"/>
          <w:highlight w:val="none"/>
        </w:rPr>
      </w:pPr>
      <w:bookmarkStart w:id="0" w:name="_Toc149729201"/>
      <w:bookmarkStart w:id="1" w:name="_Toc14710"/>
      <w:bookmarkStart w:id="2" w:name="_Toc1449"/>
      <w:bookmarkStart w:id="3" w:name="_Toc6865"/>
      <w:bookmarkStart w:id="4" w:name="_Toc26494"/>
      <w:bookmarkStart w:id="5" w:name="_Toc199365180"/>
      <w:bookmarkStart w:id="49" w:name="_GoBack"/>
      <w:r>
        <w:rPr>
          <w:rFonts w:hint="eastAsia" w:ascii="仿宋" w:hAnsi="仿宋" w:eastAsia="仿宋" w:cs="仿宋"/>
          <w:b/>
          <w:color w:val="auto"/>
          <w:w w:val="80"/>
          <w:sz w:val="36"/>
          <w:szCs w:val="36"/>
          <w:highlight w:val="none"/>
        </w:rPr>
        <w:t>项目需求书</w:t>
      </w:r>
      <w:bookmarkEnd w:id="0"/>
      <w:bookmarkEnd w:id="1"/>
      <w:bookmarkEnd w:id="2"/>
      <w:bookmarkEnd w:id="3"/>
      <w:bookmarkEnd w:id="4"/>
      <w:bookmarkEnd w:id="5"/>
    </w:p>
    <w:bookmarkEnd w:id="49"/>
    <w:p w14:paraId="7B299B63">
      <w:pPr>
        <w:keepNext/>
        <w:keepLines/>
        <w:pageBreakBefore w:val="0"/>
        <w:widowControl w:val="0"/>
        <w:kinsoku/>
        <w:wordWrap/>
        <w:overflowPunct/>
        <w:topLinePunct w:val="0"/>
        <w:autoSpaceDE/>
        <w:autoSpaceDN/>
        <w:bidi w:val="0"/>
        <w:adjustRightInd w:val="0"/>
        <w:snapToGrid/>
        <w:spacing w:before="157" w:beforeLines="50" w:after="157" w:afterLines="50" w:line="560" w:lineRule="exact"/>
        <w:ind w:firstLine="480" w:firstLineChars="200"/>
        <w:jc w:val="both"/>
        <w:textAlignment w:val="baseline"/>
        <w:outlineLvl w:val="0"/>
        <w:rPr>
          <w:rFonts w:hint="eastAsia" w:ascii="仿宋_GB2312" w:hAnsi="仿宋_GB2312" w:eastAsia="仿宋_GB2312" w:cs="仿宋_GB2312"/>
          <w:b w:val="0"/>
          <w:bCs w:val="0"/>
          <w:color w:val="auto"/>
          <w:kern w:val="2"/>
          <w:sz w:val="24"/>
          <w:szCs w:val="24"/>
          <w:highlight w:val="none"/>
          <w:lang w:val="en-US" w:eastAsia="zh-CN" w:bidi="ar-SA"/>
        </w:rPr>
      </w:pPr>
      <w:bookmarkStart w:id="6" w:name="_Toc1720"/>
      <w:bookmarkStart w:id="7" w:name="_Toc23694"/>
      <w:bookmarkStart w:id="8" w:name="_Toc6071"/>
      <w:bookmarkStart w:id="9" w:name="_Toc23550"/>
      <w:bookmarkStart w:id="10" w:name="_Toc457811498"/>
      <w:bookmarkStart w:id="11" w:name="_Toc20483"/>
      <w:bookmarkStart w:id="12" w:name="_Toc16941"/>
      <w:bookmarkStart w:id="13" w:name="_Toc8327"/>
      <w:bookmarkStart w:id="14" w:name="_Toc3738"/>
      <w:r>
        <w:rPr>
          <w:rFonts w:hint="eastAsia" w:ascii="黑体" w:hAnsi="黑体" w:eastAsia="黑体" w:cs="黑体"/>
          <w:b w:val="0"/>
          <w:bCs w:val="0"/>
          <w:color w:val="auto"/>
          <w:kern w:val="2"/>
          <w:sz w:val="24"/>
          <w:szCs w:val="24"/>
          <w:highlight w:val="none"/>
          <w:lang w:val="en-US" w:eastAsia="zh-CN" w:bidi="ar-SA"/>
        </w:rPr>
        <w:t>一、项目介绍</w:t>
      </w:r>
      <w:bookmarkEnd w:id="6"/>
      <w:bookmarkEnd w:id="7"/>
    </w:p>
    <w:p w14:paraId="405B46E7">
      <w:pPr>
        <w:keepNext/>
        <w:keepLines/>
        <w:pageBreakBefore w:val="0"/>
        <w:widowControl w:val="0"/>
        <w:kinsoku/>
        <w:wordWrap/>
        <w:overflowPunct/>
        <w:topLinePunct w:val="0"/>
        <w:autoSpaceDE/>
        <w:autoSpaceDN/>
        <w:bidi w:val="0"/>
        <w:adjustRightInd w:val="0"/>
        <w:snapToGrid/>
        <w:spacing w:before="0" w:beforeLines="0" w:after="0" w:afterLines="0" w:line="560" w:lineRule="exact"/>
        <w:ind w:firstLine="480" w:firstLineChars="200"/>
        <w:jc w:val="both"/>
        <w:textAlignment w:val="baseline"/>
        <w:outlineLvl w:val="1"/>
        <w:rPr>
          <w:rFonts w:hint="eastAsia" w:ascii="仿宋_GB2312" w:hAnsi="仿宋_GB2312" w:eastAsia="仿宋_GB2312" w:cs="仿宋_GB2312"/>
          <w:b w:val="0"/>
          <w:bCs w:val="0"/>
          <w:color w:val="auto"/>
          <w:kern w:val="2"/>
          <w:sz w:val="24"/>
          <w:szCs w:val="24"/>
          <w:highlight w:val="none"/>
          <w:lang w:val="en-US" w:eastAsia="zh-CN" w:bidi="ar-SA"/>
        </w:rPr>
      </w:pPr>
      <w:bookmarkStart w:id="15" w:name="_Toc20375"/>
      <w:bookmarkStart w:id="16" w:name="_Toc14418"/>
      <w:r>
        <w:rPr>
          <w:rFonts w:hint="eastAsia" w:ascii="仿宋_GB2312" w:hAnsi="仿宋_GB2312" w:eastAsia="仿宋_GB2312" w:cs="仿宋_GB2312"/>
          <w:b w:val="0"/>
          <w:bCs w:val="0"/>
          <w:color w:val="auto"/>
          <w:kern w:val="2"/>
          <w:sz w:val="24"/>
          <w:szCs w:val="24"/>
          <w:highlight w:val="none"/>
          <w:lang w:val="en-US" w:eastAsia="zh-CN" w:bidi="ar-SA"/>
        </w:rPr>
        <w:t>（一）项目背景概述</w:t>
      </w:r>
    </w:p>
    <w:p w14:paraId="62CF8C2A">
      <w:pPr>
        <w:pageBreakBefore w:val="0"/>
        <w:widowControl w:val="0"/>
        <w:kinsoku/>
        <w:wordWrap/>
        <w:overflowPunct/>
        <w:topLinePunct w:val="0"/>
        <w:autoSpaceDE/>
        <w:autoSpaceDN/>
        <w:bidi w:val="0"/>
        <w:adjustRightInd w:val="0"/>
        <w:snapToGrid/>
        <w:spacing w:before="0" w:beforeLines="0" w:after="0" w:afterLines="0" w:line="560" w:lineRule="exact"/>
        <w:ind w:firstLine="480" w:firstLineChars="200"/>
        <w:jc w:val="left"/>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为提高报表机采率、完成监管报送制度升级、实现反洗钱系统优化、提升经营分析能力，采购人业务部门共提出20项需求。需配合开展改造或测试工作，涉及员工渠道、金融市场、支付结算、核心银行、风险管理等领域共22个系统，具体包括：机构信息和用户管理系统、员工渠道整合平台、P2-企业内部管理领域、支付结算-国际结算组件、汇路外币、SWIFT报文服务平台、加密服务、查冻扣系统、贷款、存款、财务会计-中收计量内部帐、外币支付、客户结算、定价管理-定价模型-OLAP、集团全面风险监控预警平台、财务会计-非引擎、财务会计-会计引擎、对客资金交易、金融市场投资组合与资金交易定报价平台、国别风险管理系统、贷款损失准备金管理、支付结算组件-支付。</w:t>
      </w:r>
    </w:p>
    <w:p w14:paraId="4A89A64D">
      <w:pPr>
        <w:pageBreakBefore w:val="0"/>
        <w:widowControl w:val="0"/>
        <w:kinsoku/>
        <w:wordWrap/>
        <w:overflowPunct/>
        <w:topLinePunct w:val="0"/>
        <w:autoSpaceDE/>
        <w:autoSpaceDN/>
        <w:bidi w:val="0"/>
        <w:adjustRightInd w:val="0"/>
        <w:snapToGrid/>
        <w:spacing w:before="0" w:beforeLines="0" w:after="0" w:afterLines="0" w:line="560" w:lineRule="exact"/>
        <w:ind w:firstLine="480" w:firstLineChars="200"/>
        <w:jc w:val="left"/>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除上述需求外，监管领域和数据集成领域后续还有一些即将完成澄清的需求、收到的紧急需求、业务提出的需求变更，以上需求涉及的联合开发系统配合改造及测试等工作，一并纳入本项目立项范围。</w:t>
      </w:r>
    </w:p>
    <w:p w14:paraId="4B42AF34">
      <w:pPr>
        <w:keepNext/>
        <w:keepLines/>
        <w:pageBreakBefore w:val="0"/>
        <w:widowControl w:val="0"/>
        <w:numPr>
          <w:ilvl w:val="0"/>
          <w:numId w:val="1"/>
        </w:numPr>
        <w:kinsoku/>
        <w:wordWrap/>
        <w:overflowPunct/>
        <w:topLinePunct w:val="0"/>
        <w:autoSpaceDE/>
        <w:autoSpaceDN/>
        <w:bidi w:val="0"/>
        <w:adjustRightInd w:val="0"/>
        <w:snapToGrid/>
        <w:spacing w:before="0" w:beforeLines="0" w:after="0" w:afterLines="0" w:line="560" w:lineRule="exact"/>
        <w:ind w:firstLine="480" w:firstLineChars="200"/>
        <w:jc w:val="both"/>
        <w:textAlignment w:val="baseline"/>
        <w:outlineLvl w:val="1"/>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需求依据和来源</w:t>
      </w:r>
    </w:p>
    <w:p w14:paraId="17CABB6E">
      <w:pPr>
        <w:pageBreakBefore w:val="0"/>
        <w:widowControl w:val="0"/>
        <w:kinsoku/>
        <w:wordWrap/>
        <w:overflowPunct/>
        <w:topLinePunct w:val="0"/>
        <w:autoSpaceDE/>
        <w:autoSpaceDN/>
        <w:bidi w:val="0"/>
        <w:adjustRightInd w:val="0"/>
        <w:snapToGrid/>
        <w:spacing w:before="0" w:beforeLines="0" w:after="0" w:afterLines="0" w:line="560" w:lineRule="exact"/>
        <w:ind w:firstLine="480" w:firstLineChars="200"/>
        <w:jc w:val="left"/>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1.为落实监管整改、机采率能力提升、经营分析优化以及提升监管报送质量等要求，采购人相关业务部门提出了20项需求。</w:t>
      </w:r>
    </w:p>
    <w:p w14:paraId="3F2DA614">
      <w:pPr>
        <w:pageBreakBefore w:val="0"/>
        <w:widowControl w:val="0"/>
        <w:kinsoku/>
        <w:wordWrap/>
        <w:overflowPunct/>
        <w:topLinePunct w:val="0"/>
        <w:autoSpaceDE/>
        <w:autoSpaceDN/>
        <w:bidi w:val="0"/>
        <w:adjustRightInd w:val="0"/>
        <w:snapToGrid/>
        <w:spacing w:before="0" w:beforeLines="0" w:after="0" w:afterLines="0" w:line="560" w:lineRule="exact"/>
        <w:ind w:firstLine="480" w:firstLineChars="200"/>
        <w:jc w:val="left"/>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2.监管领域和数据集成领域后续即将完成澄清的需求、收到的紧急需求、业务提出的需求变更，以上需求涉及的联合开发配合改造及测试等工作。</w:t>
      </w:r>
    </w:p>
    <w:p w14:paraId="48FAC286">
      <w:pPr>
        <w:keepNext/>
        <w:keepLines/>
        <w:pageBreakBefore w:val="0"/>
        <w:widowControl w:val="0"/>
        <w:numPr>
          <w:ilvl w:val="0"/>
          <w:numId w:val="1"/>
        </w:numPr>
        <w:kinsoku/>
        <w:wordWrap/>
        <w:overflowPunct/>
        <w:topLinePunct w:val="0"/>
        <w:autoSpaceDE/>
        <w:autoSpaceDN/>
        <w:bidi w:val="0"/>
        <w:adjustRightInd w:val="0"/>
        <w:snapToGrid/>
        <w:spacing w:before="0" w:beforeLines="0" w:after="0" w:afterLines="0" w:line="560" w:lineRule="exact"/>
        <w:ind w:firstLine="480" w:firstLineChars="200"/>
        <w:jc w:val="both"/>
        <w:textAlignment w:val="baseline"/>
        <w:outlineLvl w:val="1"/>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功能或目标</w:t>
      </w:r>
    </w:p>
    <w:bookmarkEnd w:id="15"/>
    <w:p w14:paraId="05442D91">
      <w:pPr>
        <w:pageBreakBefore w:val="0"/>
        <w:widowControl w:val="0"/>
        <w:kinsoku/>
        <w:wordWrap/>
        <w:overflowPunct/>
        <w:topLinePunct w:val="0"/>
        <w:autoSpaceDE/>
        <w:autoSpaceDN/>
        <w:bidi w:val="0"/>
        <w:adjustRightInd w:val="0"/>
        <w:snapToGrid/>
        <w:spacing w:before="0" w:beforeLines="0" w:after="0" w:afterLines="0" w:line="560" w:lineRule="exact"/>
        <w:ind w:firstLine="480" w:firstLineChars="200"/>
        <w:jc w:val="left"/>
        <w:textAlignment w:val="baseline"/>
        <w:rPr>
          <w:rFonts w:hint="eastAsia" w:ascii="仿宋_GB2312" w:hAnsi="仿宋_GB2312" w:eastAsia="仿宋_GB2312" w:cs="仿宋_GB2312"/>
          <w:b w:val="0"/>
          <w:bCs w:val="0"/>
          <w:color w:val="auto"/>
          <w:sz w:val="24"/>
          <w:szCs w:val="24"/>
          <w:highlight w:val="none"/>
          <w:lang w:val="en-US" w:eastAsia="zh-CN"/>
        </w:rPr>
      </w:pPr>
      <w:bookmarkStart w:id="17" w:name="_Toc16185"/>
      <w:r>
        <w:rPr>
          <w:rFonts w:hint="eastAsia" w:ascii="仿宋_GB2312" w:hAnsi="仿宋_GB2312" w:eastAsia="仿宋_GB2312" w:cs="仿宋_GB2312"/>
          <w:b w:val="0"/>
          <w:bCs w:val="0"/>
          <w:color w:val="auto"/>
          <w:sz w:val="24"/>
          <w:szCs w:val="24"/>
          <w:highlight w:val="none"/>
          <w:lang w:val="en-US" w:eastAsia="zh-CN"/>
        </w:rPr>
        <w:t>需按采购人实施计划完成相关系统功能改造并投产上线，并提供1年的免费保修服务保修服务</w:t>
      </w:r>
      <w:r>
        <w:rPr>
          <w:rFonts w:hint="eastAsia" w:ascii="仿宋_GB2312" w:hAnsi="仿宋_GB2312" w:eastAsia="仿宋_GB2312" w:cs="仿宋_GB2312"/>
          <w:color w:val="auto"/>
          <w:sz w:val="24"/>
          <w:szCs w:val="24"/>
          <w:highlight w:val="none"/>
          <w:lang w:eastAsia="zh-CN"/>
        </w:rPr>
        <w:t>。</w:t>
      </w:r>
    </w:p>
    <w:bookmarkEnd w:id="16"/>
    <w:p w14:paraId="6DEE0C52">
      <w:pPr>
        <w:keepNext/>
        <w:keepLines/>
        <w:pageBreakBefore w:val="0"/>
        <w:widowControl w:val="0"/>
        <w:numPr>
          <w:ilvl w:val="0"/>
          <w:numId w:val="0"/>
        </w:numPr>
        <w:kinsoku/>
        <w:wordWrap/>
        <w:overflowPunct/>
        <w:topLinePunct w:val="0"/>
        <w:autoSpaceDE/>
        <w:autoSpaceDN/>
        <w:bidi w:val="0"/>
        <w:adjustRightInd w:val="0"/>
        <w:snapToGrid/>
        <w:spacing w:before="0" w:beforeLines="0" w:after="0" w:afterLines="0" w:line="560" w:lineRule="exact"/>
        <w:ind w:firstLine="480" w:firstLineChars="200"/>
        <w:jc w:val="both"/>
        <w:textAlignment w:val="baseline"/>
        <w:outlineLvl w:val="0"/>
        <w:rPr>
          <w:rFonts w:hint="eastAsia" w:ascii="黑体" w:hAnsi="黑体" w:eastAsia="黑体" w:cs="黑体"/>
          <w:b w:val="0"/>
          <w:bCs w:val="0"/>
          <w:color w:val="auto"/>
          <w:kern w:val="2"/>
          <w:sz w:val="24"/>
          <w:szCs w:val="24"/>
          <w:highlight w:val="none"/>
          <w:lang w:val="en-US" w:eastAsia="zh-CN" w:bidi="ar-SA"/>
        </w:rPr>
      </w:pPr>
      <w:bookmarkStart w:id="18" w:name="_Toc24255"/>
      <w:bookmarkStart w:id="19" w:name="_Toc12104"/>
      <w:r>
        <w:rPr>
          <w:rFonts w:hint="eastAsia" w:ascii="黑体" w:hAnsi="黑体" w:eastAsia="黑体" w:cs="黑体"/>
          <w:b w:val="0"/>
          <w:bCs w:val="0"/>
          <w:color w:val="auto"/>
          <w:kern w:val="2"/>
          <w:sz w:val="24"/>
          <w:szCs w:val="24"/>
          <w:highlight w:val="none"/>
          <w:lang w:val="en-US" w:eastAsia="zh-CN" w:bidi="ar-SA"/>
        </w:rPr>
        <w:t>二、服务一览表</w:t>
      </w:r>
      <w:bookmarkEnd w:id="17"/>
      <w:bookmarkEnd w:id="18"/>
      <w:bookmarkEnd w:id="19"/>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483"/>
        <w:gridCol w:w="1928"/>
        <w:gridCol w:w="1557"/>
        <w:gridCol w:w="2921"/>
      </w:tblGrid>
      <w:tr w14:paraId="34FD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71" w:type="pct"/>
            <w:vMerge w:val="restart"/>
            <w:tcBorders>
              <w:top w:val="single" w:color="auto" w:sz="4" w:space="0"/>
              <w:left w:val="single" w:color="auto" w:sz="4" w:space="0"/>
              <w:right w:val="single" w:color="auto" w:sz="4" w:space="0"/>
            </w:tcBorders>
            <w:shd w:val="clear" w:color="auto" w:fill="BFBFBF"/>
            <w:vAlign w:val="center"/>
          </w:tcPr>
          <w:p w14:paraId="46054D62">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870" w:type="pct"/>
            <w:vMerge w:val="restart"/>
            <w:tcBorders>
              <w:top w:val="single" w:color="auto" w:sz="4" w:space="0"/>
              <w:left w:val="single" w:color="auto" w:sz="4" w:space="0"/>
              <w:right w:val="single" w:color="auto" w:sz="4" w:space="0"/>
            </w:tcBorders>
            <w:shd w:val="clear" w:color="auto" w:fill="BFBFBF"/>
            <w:vAlign w:val="center"/>
          </w:tcPr>
          <w:p w14:paraId="754BF96C">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服务名称</w:t>
            </w:r>
          </w:p>
        </w:tc>
        <w:tc>
          <w:tcPr>
            <w:tcW w:w="1131" w:type="pct"/>
            <w:vMerge w:val="restart"/>
            <w:tcBorders>
              <w:top w:val="single" w:color="auto" w:sz="4" w:space="0"/>
              <w:left w:val="single" w:color="auto" w:sz="4" w:space="0"/>
              <w:right w:val="single" w:color="auto" w:sz="4" w:space="0"/>
            </w:tcBorders>
            <w:shd w:val="clear" w:color="auto" w:fill="BFBFBF"/>
            <w:vAlign w:val="center"/>
          </w:tcPr>
          <w:p w14:paraId="146CB44D">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服务期</w:t>
            </w:r>
          </w:p>
        </w:tc>
        <w:tc>
          <w:tcPr>
            <w:tcW w:w="913" w:type="pct"/>
            <w:vMerge w:val="restart"/>
            <w:tcBorders>
              <w:top w:val="single" w:color="auto" w:sz="4" w:space="0"/>
              <w:left w:val="single" w:color="auto" w:sz="4" w:space="0"/>
              <w:right w:val="single" w:color="auto" w:sz="4" w:space="0"/>
            </w:tcBorders>
            <w:shd w:val="clear" w:color="auto" w:fill="BFBFBF"/>
            <w:vAlign w:val="center"/>
          </w:tcPr>
          <w:p w14:paraId="4FB3EF88">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服务人员和数量要求</w:t>
            </w:r>
          </w:p>
        </w:tc>
        <w:tc>
          <w:tcPr>
            <w:tcW w:w="1713" w:type="pct"/>
            <w:vMerge w:val="restart"/>
            <w:tcBorders>
              <w:top w:val="single" w:color="auto" w:sz="4" w:space="0"/>
              <w:left w:val="single" w:color="auto" w:sz="4" w:space="0"/>
              <w:right w:val="single" w:color="auto" w:sz="4" w:space="0"/>
            </w:tcBorders>
            <w:shd w:val="clear" w:color="auto" w:fill="BFBFBF"/>
            <w:vAlign w:val="center"/>
          </w:tcPr>
          <w:p w14:paraId="4873CDC5">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服务内容</w:t>
            </w:r>
          </w:p>
        </w:tc>
      </w:tr>
      <w:tr w14:paraId="2EC9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71" w:type="pct"/>
            <w:vMerge w:val="continue"/>
            <w:tcBorders>
              <w:left w:val="single" w:color="auto" w:sz="4" w:space="0"/>
              <w:bottom w:val="single" w:color="auto" w:sz="4" w:space="0"/>
              <w:right w:val="single" w:color="auto" w:sz="4" w:space="0"/>
            </w:tcBorders>
            <w:shd w:val="clear" w:color="auto" w:fill="BFBFBF"/>
          </w:tcPr>
          <w:p w14:paraId="61AA816A">
            <w:pPr>
              <w:jc w:val="center"/>
              <w:rPr>
                <w:rFonts w:hint="eastAsia" w:ascii="仿宋_GB2312" w:hAnsi="仿宋_GB2312" w:eastAsia="仿宋_GB2312" w:cs="仿宋_GB2312"/>
                <w:color w:val="auto"/>
                <w:sz w:val="24"/>
                <w:szCs w:val="24"/>
                <w:highlight w:val="none"/>
              </w:rPr>
            </w:pPr>
          </w:p>
        </w:tc>
        <w:tc>
          <w:tcPr>
            <w:tcW w:w="870" w:type="pct"/>
            <w:vMerge w:val="continue"/>
            <w:tcBorders>
              <w:left w:val="single" w:color="auto" w:sz="4" w:space="0"/>
              <w:bottom w:val="single" w:color="auto" w:sz="4" w:space="0"/>
              <w:right w:val="single" w:color="auto" w:sz="4" w:space="0"/>
            </w:tcBorders>
            <w:shd w:val="clear" w:color="auto" w:fill="BFBFBF"/>
          </w:tcPr>
          <w:p w14:paraId="0D498EA6">
            <w:pPr>
              <w:jc w:val="center"/>
              <w:rPr>
                <w:rFonts w:hint="eastAsia" w:ascii="仿宋_GB2312" w:hAnsi="仿宋_GB2312" w:eastAsia="仿宋_GB2312" w:cs="仿宋_GB2312"/>
                <w:color w:val="auto"/>
                <w:sz w:val="24"/>
                <w:szCs w:val="24"/>
                <w:highlight w:val="none"/>
              </w:rPr>
            </w:pPr>
          </w:p>
        </w:tc>
        <w:tc>
          <w:tcPr>
            <w:tcW w:w="1131" w:type="pct"/>
            <w:vMerge w:val="continue"/>
            <w:tcBorders>
              <w:left w:val="single" w:color="auto" w:sz="4" w:space="0"/>
              <w:bottom w:val="single" w:color="auto" w:sz="4" w:space="0"/>
              <w:right w:val="single" w:color="auto" w:sz="4" w:space="0"/>
            </w:tcBorders>
            <w:shd w:val="clear" w:color="auto" w:fill="BFBFBF"/>
          </w:tcPr>
          <w:p w14:paraId="2DCAA8CB">
            <w:pPr>
              <w:jc w:val="center"/>
              <w:rPr>
                <w:rFonts w:hint="eastAsia" w:ascii="仿宋_GB2312" w:hAnsi="仿宋_GB2312" w:eastAsia="仿宋_GB2312" w:cs="仿宋_GB2312"/>
                <w:color w:val="auto"/>
                <w:sz w:val="24"/>
                <w:szCs w:val="24"/>
                <w:highlight w:val="none"/>
              </w:rPr>
            </w:pPr>
          </w:p>
        </w:tc>
        <w:tc>
          <w:tcPr>
            <w:tcW w:w="913" w:type="pct"/>
            <w:vMerge w:val="continue"/>
            <w:tcBorders>
              <w:left w:val="single" w:color="auto" w:sz="4" w:space="0"/>
              <w:bottom w:val="single" w:color="auto" w:sz="4" w:space="0"/>
              <w:right w:val="single" w:color="auto" w:sz="4" w:space="0"/>
            </w:tcBorders>
            <w:shd w:val="clear" w:color="auto" w:fill="BFBFBF"/>
          </w:tcPr>
          <w:p w14:paraId="135B977A">
            <w:pPr>
              <w:jc w:val="center"/>
              <w:rPr>
                <w:rFonts w:hint="eastAsia" w:ascii="仿宋_GB2312" w:hAnsi="仿宋_GB2312" w:eastAsia="仿宋_GB2312" w:cs="仿宋_GB2312"/>
                <w:color w:val="auto"/>
                <w:sz w:val="24"/>
                <w:szCs w:val="24"/>
                <w:highlight w:val="none"/>
              </w:rPr>
            </w:pPr>
          </w:p>
        </w:tc>
        <w:tc>
          <w:tcPr>
            <w:tcW w:w="1713" w:type="pct"/>
            <w:vMerge w:val="continue"/>
            <w:tcBorders>
              <w:left w:val="single" w:color="auto" w:sz="4" w:space="0"/>
              <w:bottom w:val="single" w:color="auto" w:sz="4" w:space="0"/>
              <w:right w:val="single" w:color="auto" w:sz="4" w:space="0"/>
            </w:tcBorders>
            <w:shd w:val="clear" w:color="auto" w:fill="BFBFBF"/>
          </w:tcPr>
          <w:p w14:paraId="693AB619">
            <w:pPr>
              <w:jc w:val="center"/>
              <w:rPr>
                <w:rFonts w:hint="eastAsia" w:ascii="仿宋_GB2312" w:hAnsi="仿宋_GB2312" w:eastAsia="仿宋_GB2312" w:cs="仿宋_GB2312"/>
                <w:color w:val="auto"/>
                <w:sz w:val="24"/>
                <w:szCs w:val="24"/>
                <w:highlight w:val="none"/>
              </w:rPr>
            </w:pPr>
          </w:p>
        </w:tc>
      </w:tr>
      <w:tr w14:paraId="531A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1" w:type="pct"/>
            <w:vMerge w:val="continue"/>
            <w:tcBorders>
              <w:left w:val="single" w:color="auto" w:sz="4" w:space="0"/>
              <w:bottom w:val="single" w:color="auto" w:sz="4" w:space="0"/>
              <w:right w:val="single" w:color="auto" w:sz="4" w:space="0"/>
            </w:tcBorders>
            <w:vAlign w:val="center"/>
          </w:tcPr>
          <w:p w14:paraId="57ACB7FD">
            <w:pPr>
              <w:numPr>
                <w:ilvl w:val="0"/>
                <w:numId w:val="2"/>
              </w:numPr>
              <w:jc w:val="center"/>
              <w:rPr>
                <w:rFonts w:hint="eastAsia" w:ascii="仿宋_GB2312" w:hAnsi="仿宋_GB2312" w:eastAsia="仿宋_GB2312" w:cs="仿宋_GB2312"/>
                <w:color w:val="auto"/>
                <w:sz w:val="24"/>
                <w:szCs w:val="24"/>
                <w:highlight w:val="none"/>
              </w:rPr>
            </w:pPr>
          </w:p>
        </w:tc>
        <w:tc>
          <w:tcPr>
            <w:tcW w:w="870" w:type="pct"/>
            <w:vMerge w:val="continue"/>
            <w:tcBorders>
              <w:left w:val="single" w:color="auto" w:sz="4" w:space="0"/>
              <w:bottom w:val="single" w:color="auto" w:sz="4" w:space="0"/>
              <w:right w:val="single" w:color="auto" w:sz="4" w:space="0"/>
            </w:tcBorders>
            <w:vAlign w:val="center"/>
          </w:tcPr>
          <w:p w14:paraId="0094D432">
            <w:pPr>
              <w:rPr>
                <w:rFonts w:hint="eastAsia" w:ascii="仿宋_GB2312" w:hAnsi="仿宋_GB2312" w:eastAsia="仿宋_GB2312" w:cs="仿宋_GB2312"/>
                <w:color w:val="auto"/>
                <w:sz w:val="24"/>
                <w:szCs w:val="24"/>
                <w:highlight w:val="none"/>
              </w:rPr>
            </w:pPr>
          </w:p>
        </w:tc>
        <w:tc>
          <w:tcPr>
            <w:tcW w:w="1131" w:type="pct"/>
            <w:vMerge w:val="continue"/>
            <w:tcBorders>
              <w:left w:val="single" w:color="auto" w:sz="4" w:space="0"/>
              <w:bottom w:val="single" w:color="auto" w:sz="4" w:space="0"/>
              <w:right w:val="single" w:color="auto" w:sz="4" w:space="0"/>
            </w:tcBorders>
            <w:vAlign w:val="center"/>
          </w:tcPr>
          <w:p w14:paraId="1C86A0C7">
            <w:pPr>
              <w:jc w:val="center"/>
              <w:rPr>
                <w:rFonts w:hint="eastAsia" w:ascii="仿宋_GB2312" w:hAnsi="仿宋_GB2312" w:eastAsia="仿宋_GB2312" w:cs="仿宋_GB2312"/>
                <w:color w:val="auto"/>
                <w:sz w:val="24"/>
                <w:szCs w:val="24"/>
                <w:highlight w:val="none"/>
              </w:rPr>
            </w:pPr>
          </w:p>
        </w:tc>
        <w:tc>
          <w:tcPr>
            <w:tcW w:w="913" w:type="pct"/>
            <w:vMerge w:val="continue"/>
            <w:tcBorders>
              <w:left w:val="single" w:color="auto" w:sz="4" w:space="0"/>
              <w:bottom w:val="single" w:color="auto" w:sz="4" w:space="0"/>
              <w:right w:val="single" w:color="auto" w:sz="4" w:space="0"/>
            </w:tcBorders>
            <w:vAlign w:val="center"/>
          </w:tcPr>
          <w:p w14:paraId="734806AE">
            <w:pPr>
              <w:jc w:val="center"/>
              <w:rPr>
                <w:rFonts w:hint="eastAsia" w:ascii="仿宋_GB2312" w:hAnsi="仿宋_GB2312" w:eastAsia="仿宋_GB2312" w:cs="仿宋_GB2312"/>
                <w:color w:val="auto"/>
                <w:sz w:val="24"/>
                <w:szCs w:val="24"/>
                <w:highlight w:val="none"/>
              </w:rPr>
            </w:pPr>
          </w:p>
        </w:tc>
        <w:tc>
          <w:tcPr>
            <w:tcW w:w="1713" w:type="pct"/>
            <w:vMerge w:val="continue"/>
            <w:tcBorders>
              <w:left w:val="single" w:color="auto" w:sz="4" w:space="0"/>
              <w:bottom w:val="single" w:color="auto" w:sz="4" w:space="0"/>
              <w:right w:val="single" w:color="auto" w:sz="4" w:space="0"/>
            </w:tcBorders>
            <w:vAlign w:val="center"/>
          </w:tcPr>
          <w:p w14:paraId="34848302">
            <w:pPr>
              <w:jc w:val="center"/>
              <w:rPr>
                <w:rFonts w:hint="eastAsia" w:ascii="仿宋_GB2312" w:hAnsi="仿宋_GB2312" w:eastAsia="仿宋_GB2312" w:cs="仿宋_GB2312"/>
                <w:color w:val="auto"/>
                <w:sz w:val="24"/>
                <w:szCs w:val="24"/>
                <w:highlight w:val="none"/>
              </w:rPr>
            </w:pPr>
          </w:p>
        </w:tc>
      </w:tr>
      <w:tr w14:paraId="582A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1" w:type="pct"/>
            <w:vMerge w:val="continue"/>
            <w:tcBorders>
              <w:left w:val="single" w:color="auto" w:sz="4" w:space="0"/>
              <w:bottom w:val="single" w:color="auto" w:sz="4" w:space="0"/>
              <w:right w:val="single" w:color="auto" w:sz="4" w:space="0"/>
            </w:tcBorders>
            <w:vAlign w:val="center"/>
          </w:tcPr>
          <w:p w14:paraId="17BA82A1">
            <w:pPr>
              <w:numPr>
                <w:ilvl w:val="0"/>
                <w:numId w:val="2"/>
              </w:numPr>
              <w:jc w:val="center"/>
              <w:rPr>
                <w:rFonts w:hint="eastAsia" w:ascii="仿宋_GB2312" w:hAnsi="仿宋_GB2312" w:eastAsia="仿宋_GB2312" w:cs="仿宋_GB2312"/>
                <w:color w:val="auto"/>
                <w:sz w:val="24"/>
                <w:szCs w:val="24"/>
                <w:highlight w:val="none"/>
              </w:rPr>
            </w:pPr>
          </w:p>
        </w:tc>
        <w:tc>
          <w:tcPr>
            <w:tcW w:w="870" w:type="pct"/>
            <w:vMerge w:val="continue"/>
            <w:tcBorders>
              <w:left w:val="single" w:color="auto" w:sz="4" w:space="0"/>
              <w:bottom w:val="single" w:color="auto" w:sz="4" w:space="0"/>
              <w:right w:val="single" w:color="auto" w:sz="4" w:space="0"/>
            </w:tcBorders>
            <w:vAlign w:val="center"/>
          </w:tcPr>
          <w:p w14:paraId="0F510EB9">
            <w:pPr>
              <w:rPr>
                <w:rFonts w:hint="eastAsia" w:ascii="仿宋_GB2312" w:hAnsi="仿宋_GB2312" w:eastAsia="仿宋_GB2312" w:cs="仿宋_GB2312"/>
                <w:color w:val="auto"/>
                <w:sz w:val="24"/>
                <w:szCs w:val="24"/>
                <w:highlight w:val="none"/>
              </w:rPr>
            </w:pPr>
          </w:p>
        </w:tc>
        <w:tc>
          <w:tcPr>
            <w:tcW w:w="1131" w:type="pct"/>
            <w:vMerge w:val="continue"/>
            <w:tcBorders>
              <w:left w:val="single" w:color="auto" w:sz="4" w:space="0"/>
              <w:bottom w:val="single" w:color="auto" w:sz="4" w:space="0"/>
              <w:right w:val="single" w:color="auto" w:sz="4" w:space="0"/>
            </w:tcBorders>
            <w:vAlign w:val="center"/>
          </w:tcPr>
          <w:p w14:paraId="224B3B18">
            <w:pPr>
              <w:jc w:val="center"/>
              <w:rPr>
                <w:rFonts w:hint="eastAsia" w:ascii="仿宋_GB2312" w:hAnsi="仿宋_GB2312" w:eastAsia="仿宋_GB2312" w:cs="仿宋_GB2312"/>
                <w:color w:val="auto"/>
                <w:sz w:val="24"/>
                <w:szCs w:val="24"/>
                <w:highlight w:val="none"/>
              </w:rPr>
            </w:pPr>
          </w:p>
        </w:tc>
        <w:tc>
          <w:tcPr>
            <w:tcW w:w="913" w:type="pct"/>
            <w:vMerge w:val="continue"/>
            <w:tcBorders>
              <w:left w:val="single" w:color="auto" w:sz="4" w:space="0"/>
              <w:bottom w:val="single" w:color="auto" w:sz="4" w:space="0"/>
              <w:right w:val="single" w:color="auto" w:sz="4" w:space="0"/>
            </w:tcBorders>
            <w:vAlign w:val="center"/>
          </w:tcPr>
          <w:p w14:paraId="11FF80D7">
            <w:pPr>
              <w:jc w:val="center"/>
              <w:rPr>
                <w:rFonts w:hint="eastAsia" w:ascii="仿宋_GB2312" w:hAnsi="仿宋_GB2312" w:eastAsia="仿宋_GB2312" w:cs="仿宋_GB2312"/>
                <w:color w:val="auto"/>
                <w:sz w:val="24"/>
                <w:szCs w:val="24"/>
                <w:highlight w:val="none"/>
              </w:rPr>
            </w:pPr>
          </w:p>
        </w:tc>
        <w:tc>
          <w:tcPr>
            <w:tcW w:w="1713" w:type="pct"/>
            <w:vMerge w:val="continue"/>
            <w:tcBorders>
              <w:left w:val="single" w:color="auto" w:sz="4" w:space="0"/>
              <w:bottom w:val="single" w:color="auto" w:sz="4" w:space="0"/>
              <w:right w:val="single" w:color="auto" w:sz="4" w:space="0"/>
            </w:tcBorders>
            <w:vAlign w:val="center"/>
          </w:tcPr>
          <w:p w14:paraId="59317561">
            <w:pPr>
              <w:jc w:val="center"/>
              <w:rPr>
                <w:rFonts w:hint="eastAsia" w:ascii="仿宋_GB2312" w:hAnsi="仿宋_GB2312" w:eastAsia="仿宋_GB2312" w:cs="仿宋_GB2312"/>
                <w:color w:val="auto"/>
                <w:sz w:val="24"/>
                <w:szCs w:val="24"/>
                <w:highlight w:val="none"/>
              </w:rPr>
            </w:pPr>
          </w:p>
        </w:tc>
      </w:tr>
      <w:tr w14:paraId="0DD1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1" w:type="pct"/>
            <w:vMerge w:val="continue"/>
            <w:tcBorders>
              <w:left w:val="single" w:color="auto" w:sz="4" w:space="0"/>
              <w:right w:val="single" w:color="auto" w:sz="4" w:space="0"/>
            </w:tcBorders>
            <w:vAlign w:val="center"/>
          </w:tcPr>
          <w:p w14:paraId="455CE6EB">
            <w:pPr>
              <w:numPr>
                <w:ilvl w:val="0"/>
                <w:numId w:val="2"/>
              </w:numPr>
              <w:jc w:val="center"/>
              <w:rPr>
                <w:rFonts w:hint="eastAsia" w:ascii="仿宋_GB2312" w:hAnsi="仿宋_GB2312" w:eastAsia="仿宋_GB2312" w:cs="仿宋_GB2312"/>
                <w:color w:val="auto"/>
                <w:sz w:val="24"/>
                <w:szCs w:val="24"/>
                <w:highlight w:val="none"/>
              </w:rPr>
            </w:pPr>
          </w:p>
        </w:tc>
        <w:tc>
          <w:tcPr>
            <w:tcW w:w="870" w:type="pct"/>
            <w:vMerge w:val="continue"/>
            <w:tcBorders>
              <w:left w:val="single" w:color="auto" w:sz="4" w:space="0"/>
              <w:right w:val="single" w:color="auto" w:sz="4" w:space="0"/>
            </w:tcBorders>
            <w:vAlign w:val="center"/>
          </w:tcPr>
          <w:p w14:paraId="70D216F1">
            <w:pPr>
              <w:rPr>
                <w:rFonts w:hint="eastAsia" w:ascii="仿宋_GB2312" w:hAnsi="仿宋_GB2312" w:eastAsia="仿宋_GB2312" w:cs="仿宋_GB2312"/>
                <w:color w:val="auto"/>
                <w:sz w:val="24"/>
                <w:szCs w:val="24"/>
                <w:highlight w:val="none"/>
              </w:rPr>
            </w:pPr>
          </w:p>
        </w:tc>
        <w:tc>
          <w:tcPr>
            <w:tcW w:w="1131" w:type="pct"/>
            <w:vMerge w:val="continue"/>
            <w:tcBorders>
              <w:left w:val="single" w:color="auto" w:sz="4" w:space="0"/>
              <w:right w:val="single" w:color="auto" w:sz="4" w:space="0"/>
            </w:tcBorders>
            <w:vAlign w:val="center"/>
          </w:tcPr>
          <w:p w14:paraId="4E1E9673">
            <w:pPr>
              <w:jc w:val="center"/>
              <w:rPr>
                <w:rFonts w:hint="eastAsia" w:ascii="仿宋_GB2312" w:hAnsi="仿宋_GB2312" w:eastAsia="仿宋_GB2312" w:cs="仿宋_GB2312"/>
                <w:color w:val="auto"/>
                <w:sz w:val="24"/>
                <w:szCs w:val="24"/>
                <w:highlight w:val="none"/>
              </w:rPr>
            </w:pPr>
          </w:p>
        </w:tc>
        <w:tc>
          <w:tcPr>
            <w:tcW w:w="913" w:type="pct"/>
            <w:vMerge w:val="continue"/>
            <w:tcBorders>
              <w:left w:val="single" w:color="auto" w:sz="4" w:space="0"/>
              <w:right w:val="single" w:color="auto" w:sz="4" w:space="0"/>
            </w:tcBorders>
            <w:vAlign w:val="center"/>
          </w:tcPr>
          <w:p w14:paraId="422DEB35">
            <w:pPr>
              <w:jc w:val="center"/>
              <w:rPr>
                <w:rFonts w:hint="eastAsia" w:ascii="仿宋_GB2312" w:hAnsi="仿宋_GB2312" w:eastAsia="仿宋_GB2312" w:cs="仿宋_GB2312"/>
                <w:color w:val="auto"/>
                <w:sz w:val="24"/>
                <w:szCs w:val="24"/>
                <w:highlight w:val="none"/>
              </w:rPr>
            </w:pPr>
          </w:p>
        </w:tc>
        <w:tc>
          <w:tcPr>
            <w:tcW w:w="1713" w:type="pct"/>
            <w:vMerge w:val="continue"/>
            <w:tcBorders>
              <w:left w:val="single" w:color="auto" w:sz="4" w:space="0"/>
              <w:right w:val="single" w:color="auto" w:sz="4" w:space="0"/>
            </w:tcBorders>
            <w:vAlign w:val="center"/>
          </w:tcPr>
          <w:p w14:paraId="4B1F1E7A">
            <w:pPr>
              <w:jc w:val="center"/>
              <w:rPr>
                <w:rFonts w:hint="eastAsia" w:ascii="仿宋_GB2312" w:hAnsi="仿宋_GB2312" w:eastAsia="仿宋_GB2312" w:cs="仿宋_GB2312"/>
                <w:color w:val="auto"/>
                <w:sz w:val="24"/>
                <w:szCs w:val="24"/>
                <w:highlight w:val="none"/>
              </w:rPr>
            </w:pPr>
          </w:p>
        </w:tc>
      </w:tr>
      <w:tr w14:paraId="5B61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71" w:type="pct"/>
            <w:vMerge w:val="continue"/>
            <w:tcBorders>
              <w:left w:val="single" w:color="auto" w:sz="4" w:space="0"/>
              <w:bottom w:val="single" w:color="auto" w:sz="4" w:space="0"/>
              <w:right w:val="single" w:color="auto" w:sz="4" w:space="0"/>
            </w:tcBorders>
            <w:vAlign w:val="center"/>
          </w:tcPr>
          <w:p w14:paraId="2AB538A7">
            <w:pPr>
              <w:numPr>
                <w:ilvl w:val="0"/>
                <w:numId w:val="2"/>
              </w:numPr>
              <w:jc w:val="center"/>
              <w:rPr>
                <w:rFonts w:hint="eastAsia" w:ascii="仿宋_GB2312" w:hAnsi="仿宋_GB2312" w:eastAsia="仿宋_GB2312" w:cs="仿宋_GB2312"/>
                <w:color w:val="auto"/>
                <w:sz w:val="24"/>
                <w:szCs w:val="24"/>
                <w:highlight w:val="none"/>
              </w:rPr>
            </w:pPr>
          </w:p>
        </w:tc>
        <w:tc>
          <w:tcPr>
            <w:tcW w:w="870" w:type="pct"/>
            <w:vMerge w:val="continue"/>
            <w:tcBorders>
              <w:left w:val="single" w:color="auto" w:sz="4" w:space="0"/>
              <w:bottom w:val="single" w:color="auto" w:sz="4" w:space="0"/>
              <w:right w:val="single" w:color="auto" w:sz="4" w:space="0"/>
            </w:tcBorders>
            <w:vAlign w:val="center"/>
          </w:tcPr>
          <w:p w14:paraId="29A7FCF4">
            <w:pPr>
              <w:rPr>
                <w:rFonts w:hint="eastAsia" w:ascii="仿宋_GB2312" w:hAnsi="仿宋_GB2312" w:eastAsia="仿宋_GB2312" w:cs="仿宋_GB2312"/>
                <w:color w:val="auto"/>
                <w:sz w:val="24"/>
                <w:szCs w:val="24"/>
                <w:highlight w:val="none"/>
              </w:rPr>
            </w:pPr>
          </w:p>
        </w:tc>
        <w:tc>
          <w:tcPr>
            <w:tcW w:w="1131" w:type="pct"/>
            <w:vMerge w:val="continue"/>
            <w:tcBorders>
              <w:left w:val="single" w:color="auto" w:sz="4" w:space="0"/>
              <w:bottom w:val="single" w:color="auto" w:sz="4" w:space="0"/>
              <w:right w:val="single" w:color="auto" w:sz="4" w:space="0"/>
            </w:tcBorders>
            <w:vAlign w:val="center"/>
          </w:tcPr>
          <w:p w14:paraId="62E1CD63">
            <w:pPr>
              <w:jc w:val="center"/>
              <w:rPr>
                <w:rFonts w:hint="eastAsia" w:ascii="仿宋_GB2312" w:hAnsi="仿宋_GB2312" w:eastAsia="仿宋_GB2312" w:cs="仿宋_GB2312"/>
                <w:color w:val="auto"/>
                <w:sz w:val="24"/>
                <w:szCs w:val="24"/>
                <w:highlight w:val="none"/>
              </w:rPr>
            </w:pPr>
          </w:p>
        </w:tc>
        <w:tc>
          <w:tcPr>
            <w:tcW w:w="913" w:type="pct"/>
            <w:vMerge w:val="continue"/>
            <w:tcBorders>
              <w:left w:val="single" w:color="auto" w:sz="4" w:space="0"/>
              <w:bottom w:val="single" w:color="auto" w:sz="4" w:space="0"/>
              <w:right w:val="single" w:color="auto" w:sz="4" w:space="0"/>
            </w:tcBorders>
            <w:vAlign w:val="center"/>
          </w:tcPr>
          <w:p w14:paraId="0A208C31">
            <w:pPr>
              <w:jc w:val="center"/>
              <w:rPr>
                <w:rFonts w:hint="eastAsia" w:ascii="仿宋_GB2312" w:hAnsi="仿宋_GB2312" w:eastAsia="仿宋_GB2312" w:cs="仿宋_GB2312"/>
                <w:color w:val="auto"/>
                <w:sz w:val="24"/>
                <w:szCs w:val="24"/>
                <w:highlight w:val="none"/>
              </w:rPr>
            </w:pPr>
          </w:p>
        </w:tc>
        <w:tc>
          <w:tcPr>
            <w:tcW w:w="1713" w:type="pct"/>
            <w:vMerge w:val="continue"/>
            <w:tcBorders>
              <w:left w:val="single" w:color="auto" w:sz="4" w:space="0"/>
              <w:bottom w:val="single" w:color="auto" w:sz="4" w:space="0"/>
              <w:right w:val="single" w:color="auto" w:sz="4" w:space="0"/>
            </w:tcBorders>
            <w:vAlign w:val="center"/>
          </w:tcPr>
          <w:p w14:paraId="1F67805E">
            <w:pPr>
              <w:jc w:val="center"/>
              <w:rPr>
                <w:rFonts w:hint="eastAsia" w:ascii="仿宋_GB2312" w:hAnsi="仿宋_GB2312" w:eastAsia="仿宋_GB2312" w:cs="仿宋_GB2312"/>
                <w:color w:val="auto"/>
                <w:sz w:val="24"/>
                <w:szCs w:val="24"/>
                <w:highlight w:val="none"/>
              </w:rPr>
            </w:pPr>
          </w:p>
        </w:tc>
      </w:tr>
      <w:tr w14:paraId="67AD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371" w:type="pct"/>
            <w:tcBorders>
              <w:left w:val="single" w:color="auto" w:sz="4" w:space="0"/>
              <w:right w:val="single" w:color="auto" w:sz="4" w:space="0"/>
            </w:tcBorders>
            <w:vAlign w:val="center"/>
          </w:tcPr>
          <w:p w14:paraId="4FC2BD6B">
            <w:pPr>
              <w:numPr>
                <w:ilvl w:val="255"/>
                <w:numId w:val="0"/>
              </w:numPr>
              <w:ind w:firstLine="240" w:firstLineChars="10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870" w:type="pct"/>
            <w:tcBorders>
              <w:left w:val="single" w:color="auto" w:sz="4" w:space="0"/>
              <w:right w:val="single" w:color="auto" w:sz="4" w:space="0"/>
            </w:tcBorders>
            <w:vAlign w:val="center"/>
          </w:tcPr>
          <w:p w14:paraId="17571618">
            <w:pP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20项需求实施工作</w:t>
            </w:r>
          </w:p>
        </w:tc>
        <w:tc>
          <w:tcPr>
            <w:tcW w:w="1131" w:type="pct"/>
            <w:tcBorders>
              <w:left w:val="single" w:color="auto" w:sz="4" w:space="0"/>
              <w:right w:val="single" w:color="auto" w:sz="4" w:space="0"/>
            </w:tcBorders>
            <w:vAlign w:val="center"/>
          </w:tcPr>
          <w:p w14:paraId="3DA586F2">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见交付或实施时间、地点</w:t>
            </w:r>
          </w:p>
        </w:tc>
        <w:tc>
          <w:tcPr>
            <w:tcW w:w="913" w:type="pct"/>
            <w:tcBorders>
              <w:left w:val="single" w:color="auto" w:sz="4" w:space="0"/>
              <w:right w:val="single" w:color="auto" w:sz="4" w:space="0"/>
            </w:tcBorders>
            <w:vAlign w:val="center"/>
          </w:tcPr>
          <w:p w14:paraId="0369F843">
            <w:pPr>
              <w:widowControl w:val="0"/>
              <w:ind w:firstLine="0"/>
              <w:jc w:val="both"/>
              <w:rPr>
                <w:rFonts w:hint="eastAsia" w:ascii="仿宋_GB2312" w:hAnsi="仿宋_GB2312" w:eastAsia="仿宋_GB2312" w:cs="仿宋_GB2312"/>
                <w:color w:val="auto"/>
                <w:kern w:val="2"/>
                <w:sz w:val="24"/>
                <w:szCs w:val="24"/>
                <w:highlight w:val="none"/>
                <w:lang w:val="en-US" w:eastAsia="zh-CN" w:bidi="ar-SA"/>
              </w:rPr>
            </w:pPr>
            <w:bookmarkStart w:id="20" w:name="OLE_LINK5"/>
            <w:r>
              <w:rPr>
                <w:rFonts w:hint="eastAsia" w:ascii="仿宋_GB2312" w:hAnsi="仿宋_GB2312" w:eastAsia="仿宋_GB2312" w:cs="仿宋_GB2312"/>
                <w:color w:val="auto"/>
                <w:kern w:val="2"/>
                <w:sz w:val="24"/>
                <w:szCs w:val="24"/>
                <w:highlight w:val="none"/>
                <w:lang w:val="en-US" w:eastAsia="zh-CN" w:bidi="ar-SA"/>
              </w:rPr>
              <w:t>见项目团队要求</w:t>
            </w:r>
            <w:bookmarkEnd w:id="20"/>
          </w:p>
        </w:tc>
        <w:tc>
          <w:tcPr>
            <w:tcW w:w="1713" w:type="pct"/>
            <w:tcBorders>
              <w:left w:val="single" w:color="auto" w:sz="4" w:space="0"/>
              <w:right w:val="single" w:color="auto" w:sz="4" w:space="0"/>
            </w:tcBorders>
            <w:vAlign w:val="center"/>
          </w:tcPr>
          <w:p w14:paraId="241307DB">
            <w:pPr>
              <w:jc w:val="center"/>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20项需求实施，详见业务要求和技术要求</w:t>
            </w:r>
          </w:p>
        </w:tc>
      </w:tr>
      <w:tr w14:paraId="6D9C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371" w:type="pct"/>
            <w:tcBorders>
              <w:left w:val="single" w:color="auto" w:sz="4" w:space="0"/>
              <w:bottom w:val="single" w:color="auto" w:sz="4" w:space="0"/>
              <w:right w:val="single" w:color="auto" w:sz="4" w:space="0"/>
            </w:tcBorders>
            <w:vAlign w:val="center"/>
          </w:tcPr>
          <w:p w14:paraId="6B90D335">
            <w:pPr>
              <w:numPr>
                <w:ilvl w:val="255"/>
                <w:numId w:val="0"/>
              </w:numPr>
              <w:ind w:firstLine="240" w:firstLineChars="10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w:t>
            </w:r>
          </w:p>
        </w:tc>
        <w:tc>
          <w:tcPr>
            <w:tcW w:w="870" w:type="pct"/>
            <w:tcBorders>
              <w:left w:val="single" w:color="auto" w:sz="4" w:space="0"/>
              <w:bottom w:val="single" w:color="auto" w:sz="4" w:space="0"/>
              <w:right w:val="single" w:color="auto" w:sz="4" w:space="0"/>
            </w:tcBorders>
            <w:vAlign w:val="center"/>
          </w:tcPr>
          <w:p w14:paraId="37FE68EA">
            <w:pP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预留工作量</w:t>
            </w:r>
          </w:p>
        </w:tc>
        <w:tc>
          <w:tcPr>
            <w:tcW w:w="1131" w:type="pct"/>
            <w:tcBorders>
              <w:left w:val="single" w:color="auto" w:sz="4" w:space="0"/>
              <w:bottom w:val="single" w:color="auto" w:sz="4" w:space="0"/>
              <w:right w:val="single" w:color="auto" w:sz="4" w:space="0"/>
            </w:tcBorders>
            <w:vAlign w:val="center"/>
          </w:tcPr>
          <w:p w14:paraId="0865D945">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见交付或实施时间、地点</w:t>
            </w:r>
          </w:p>
        </w:tc>
        <w:tc>
          <w:tcPr>
            <w:tcW w:w="913" w:type="pct"/>
            <w:tcBorders>
              <w:left w:val="single" w:color="auto" w:sz="4" w:space="0"/>
              <w:bottom w:val="single" w:color="auto" w:sz="4" w:space="0"/>
              <w:right w:val="single" w:color="auto" w:sz="4" w:space="0"/>
            </w:tcBorders>
            <w:vAlign w:val="center"/>
          </w:tcPr>
          <w:p w14:paraId="2A748756">
            <w:pPr>
              <w:widowControl w:val="0"/>
              <w:ind w:firstLine="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见项目团队要求</w:t>
            </w:r>
          </w:p>
        </w:tc>
        <w:tc>
          <w:tcPr>
            <w:tcW w:w="1713" w:type="pct"/>
            <w:tcBorders>
              <w:left w:val="single" w:color="auto" w:sz="4" w:space="0"/>
              <w:bottom w:val="single" w:color="auto" w:sz="4" w:space="0"/>
              <w:right w:val="single" w:color="auto" w:sz="4" w:space="0"/>
            </w:tcBorders>
            <w:vAlign w:val="center"/>
          </w:tcPr>
          <w:p w14:paraId="66677DA9">
            <w:pPr>
              <w:jc w:val="center"/>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30人月预留工作量</w:t>
            </w:r>
          </w:p>
        </w:tc>
      </w:tr>
    </w:tbl>
    <w:p w14:paraId="28F3ABC4">
      <w:pPr>
        <w:rPr>
          <w:rFonts w:hint="eastAsia" w:ascii="仿宋_GB2312" w:hAnsi="仿宋_GB2312" w:eastAsia="仿宋_GB2312" w:cs="仿宋_GB2312"/>
          <w:color w:val="auto"/>
          <w:sz w:val="24"/>
          <w:szCs w:val="24"/>
          <w:highlight w:val="none"/>
          <w:lang w:val="en-US" w:eastAsia="zh-CN"/>
        </w:rPr>
      </w:pPr>
    </w:p>
    <w:p w14:paraId="3521AF10">
      <w:pPr>
        <w:widowControl w:val="0"/>
        <w:numPr>
          <w:ilvl w:val="0"/>
          <w:numId w:val="0"/>
        </w:numPr>
        <w:jc w:val="both"/>
        <w:rPr>
          <w:rFonts w:hint="eastAsia" w:ascii="仿宋_GB2312" w:hAnsi="仿宋_GB2312" w:eastAsia="仿宋_GB2312" w:cs="仿宋_GB2312"/>
          <w:color w:val="auto"/>
          <w:sz w:val="24"/>
          <w:szCs w:val="24"/>
          <w:highlight w:val="none"/>
        </w:rPr>
      </w:pPr>
    </w:p>
    <w:tbl>
      <w:tblPr>
        <w:tblStyle w:val="11"/>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322"/>
        <w:gridCol w:w="6445"/>
      </w:tblGrid>
      <w:tr w14:paraId="3BE3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99" w:type="dxa"/>
            <w:vMerge w:val="restart"/>
            <w:tcBorders>
              <w:top w:val="single" w:color="auto" w:sz="4" w:space="0"/>
              <w:left w:val="single" w:color="auto" w:sz="4" w:space="0"/>
              <w:right w:val="single" w:color="auto" w:sz="4" w:space="0"/>
            </w:tcBorders>
            <w:noWrap w:val="0"/>
            <w:vAlign w:val="center"/>
          </w:tcPr>
          <w:p w14:paraId="3FEE722B">
            <w:pPr>
              <w:keepNext w:val="0"/>
              <w:keepLines w:val="0"/>
              <w:pageBreakBefore w:val="0"/>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1322" w:type="dxa"/>
            <w:vMerge w:val="restart"/>
            <w:tcBorders>
              <w:top w:val="single" w:color="auto" w:sz="4" w:space="0"/>
              <w:left w:val="single" w:color="auto" w:sz="4" w:space="0"/>
              <w:right w:val="single" w:color="auto" w:sz="4" w:space="0"/>
            </w:tcBorders>
            <w:noWrap w:val="0"/>
            <w:vAlign w:val="center"/>
          </w:tcPr>
          <w:p w14:paraId="5EB4F63C">
            <w:pPr>
              <w:keepNext w:val="0"/>
              <w:keepLines w:val="0"/>
              <w:pageBreakBefore w:val="0"/>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rPr>
              <w:t>服务</w:t>
            </w:r>
            <w:r>
              <w:rPr>
                <w:rFonts w:hint="eastAsia" w:ascii="仿宋_GB2312" w:hAnsi="仿宋_GB2312" w:eastAsia="仿宋_GB2312" w:cs="仿宋_GB2312"/>
                <w:b/>
                <w:bCs/>
                <w:color w:val="auto"/>
                <w:sz w:val="24"/>
                <w:szCs w:val="24"/>
                <w:highlight w:val="none"/>
                <w:lang w:val="en-US" w:eastAsia="zh-CN"/>
              </w:rPr>
              <w:t>内容</w:t>
            </w:r>
          </w:p>
        </w:tc>
        <w:tc>
          <w:tcPr>
            <w:tcW w:w="6445" w:type="dxa"/>
            <w:vMerge w:val="restart"/>
            <w:tcBorders>
              <w:top w:val="single" w:color="auto" w:sz="4" w:space="0"/>
              <w:left w:val="single" w:color="auto" w:sz="4" w:space="0"/>
              <w:right w:val="single" w:color="auto" w:sz="4" w:space="0"/>
            </w:tcBorders>
            <w:noWrap w:val="0"/>
            <w:vAlign w:val="center"/>
          </w:tcPr>
          <w:p w14:paraId="41784E5C">
            <w:pPr>
              <w:keepNext w:val="0"/>
              <w:keepLines w:val="0"/>
              <w:pageBreakBefore w:val="0"/>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eastAsia="zh-CN"/>
              </w:rPr>
              <w:t>主要</w:t>
            </w:r>
            <w:r>
              <w:rPr>
                <w:rFonts w:hint="eastAsia" w:ascii="仿宋_GB2312" w:hAnsi="仿宋_GB2312" w:eastAsia="仿宋_GB2312" w:cs="仿宋_GB2312"/>
                <w:b/>
                <w:bCs/>
                <w:color w:val="auto"/>
                <w:sz w:val="24"/>
                <w:szCs w:val="24"/>
                <w:highlight w:val="none"/>
                <w:lang w:val="en-US" w:eastAsia="zh-CN"/>
              </w:rPr>
              <w:t>工作</w:t>
            </w:r>
          </w:p>
        </w:tc>
      </w:tr>
      <w:tr w14:paraId="0A93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99" w:type="dxa"/>
            <w:vMerge w:val="continue"/>
            <w:tcBorders>
              <w:left w:val="single" w:color="auto" w:sz="4" w:space="0"/>
              <w:bottom w:val="single" w:color="auto" w:sz="4" w:space="0"/>
              <w:right w:val="single" w:color="auto" w:sz="4" w:space="0"/>
            </w:tcBorders>
            <w:noWrap w:val="0"/>
            <w:vAlign w:val="top"/>
          </w:tcPr>
          <w:p w14:paraId="1F3ECA94">
            <w:pPr>
              <w:keepNext w:val="0"/>
              <w:keepLines w:val="0"/>
              <w:pageBreakBefore w:val="0"/>
              <w:kinsoku/>
              <w:wordWrap/>
              <w:overflowPunct/>
              <w:topLinePunct w:val="0"/>
              <w:autoSpaceDE/>
              <w:autoSpaceDN/>
              <w:bidi w:val="0"/>
              <w:adjustRightInd/>
              <w:snapToGrid/>
              <w:spacing w:beforeLines="0" w:afterLines="0" w:line="360" w:lineRule="exact"/>
              <w:ind w:firstLine="480" w:firstLineChars="200"/>
              <w:jc w:val="center"/>
              <w:textAlignment w:val="auto"/>
              <w:rPr>
                <w:rFonts w:hint="eastAsia" w:ascii="仿宋_GB2312" w:hAnsi="仿宋_GB2312" w:eastAsia="仿宋_GB2312" w:cs="仿宋_GB2312"/>
                <w:color w:val="auto"/>
                <w:sz w:val="24"/>
                <w:szCs w:val="24"/>
                <w:highlight w:val="none"/>
              </w:rPr>
            </w:pPr>
          </w:p>
        </w:tc>
        <w:tc>
          <w:tcPr>
            <w:tcW w:w="1322" w:type="dxa"/>
            <w:vMerge w:val="continue"/>
            <w:tcBorders>
              <w:left w:val="single" w:color="auto" w:sz="4" w:space="0"/>
              <w:bottom w:val="single" w:color="auto" w:sz="4" w:space="0"/>
              <w:right w:val="single" w:color="auto" w:sz="4" w:space="0"/>
            </w:tcBorders>
            <w:noWrap w:val="0"/>
            <w:vAlign w:val="top"/>
          </w:tcPr>
          <w:p w14:paraId="6EFE8F1A">
            <w:pPr>
              <w:keepNext w:val="0"/>
              <w:keepLines w:val="0"/>
              <w:pageBreakBefore w:val="0"/>
              <w:kinsoku/>
              <w:wordWrap/>
              <w:overflowPunct/>
              <w:topLinePunct w:val="0"/>
              <w:autoSpaceDE/>
              <w:autoSpaceDN/>
              <w:bidi w:val="0"/>
              <w:adjustRightInd/>
              <w:snapToGrid/>
              <w:spacing w:beforeLines="0" w:afterLines="0" w:line="360" w:lineRule="exact"/>
              <w:ind w:firstLine="480" w:firstLineChars="200"/>
              <w:jc w:val="center"/>
              <w:textAlignment w:val="auto"/>
              <w:rPr>
                <w:rFonts w:hint="eastAsia" w:ascii="仿宋_GB2312" w:hAnsi="仿宋_GB2312" w:eastAsia="仿宋_GB2312" w:cs="仿宋_GB2312"/>
                <w:color w:val="auto"/>
                <w:sz w:val="24"/>
                <w:szCs w:val="24"/>
                <w:highlight w:val="none"/>
              </w:rPr>
            </w:pPr>
          </w:p>
        </w:tc>
        <w:tc>
          <w:tcPr>
            <w:tcW w:w="6445" w:type="dxa"/>
            <w:vMerge w:val="continue"/>
            <w:tcBorders>
              <w:left w:val="single" w:color="auto" w:sz="4" w:space="0"/>
              <w:bottom w:val="single" w:color="auto" w:sz="4" w:space="0"/>
              <w:right w:val="single" w:color="auto" w:sz="4" w:space="0"/>
            </w:tcBorders>
            <w:noWrap w:val="0"/>
            <w:vAlign w:val="top"/>
          </w:tcPr>
          <w:p w14:paraId="1090E359">
            <w:pPr>
              <w:keepNext w:val="0"/>
              <w:keepLines w:val="0"/>
              <w:pageBreakBefore w:val="0"/>
              <w:kinsoku/>
              <w:wordWrap/>
              <w:overflowPunct/>
              <w:topLinePunct w:val="0"/>
              <w:autoSpaceDE/>
              <w:autoSpaceDN/>
              <w:bidi w:val="0"/>
              <w:adjustRightInd/>
              <w:snapToGrid/>
              <w:spacing w:beforeLines="0" w:afterLines="0" w:line="360" w:lineRule="exact"/>
              <w:ind w:firstLine="480" w:firstLineChars="200"/>
              <w:jc w:val="center"/>
              <w:textAlignment w:val="auto"/>
              <w:rPr>
                <w:rFonts w:hint="eastAsia" w:ascii="仿宋_GB2312" w:hAnsi="仿宋_GB2312" w:eastAsia="仿宋_GB2312" w:cs="仿宋_GB2312"/>
                <w:color w:val="auto"/>
                <w:sz w:val="24"/>
                <w:szCs w:val="24"/>
                <w:highlight w:val="none"/>
              </w:rPr>
            </w:pPr>
          </w:p>
        </w:tc>
      </w:tr>
      <w:tr w14:paraId="3EA8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dxa"/>
            <w:tcBorders>
              <w:top w:val="single" w:color="auto" w:sz="4" w:space="0"/>
              <w:left w:val="single" w:color="auto" w:sz="4" w:space="0"/>
              <w:right w:val="single" w:color="auto" w:sz="4" w:space="0"/>
            </w:tcBorders>
            <w:noWrap w:val="0"/>
            <w:vAlign w:val="center"/>
          </w:tcPr>
          <w:p w14:paraId="117EB3A8">
            <w:pPr>
              <w:keepNext w:val="0"/>
              <w:keepLines w:val="0"/>
              <w:pageBreakBefore w:val="0"/>
              <w:numPr>
                <w:ilvl w:val="0"/>
                <w:numId w:val="3"/>
              </w:numPr>
              <w:tabs>
                <w:tab w:val="clear" w:pos="0"/>
              </w:tabs>
              <w:kinsoku/>
              <w:wordWrap/>
              <w:overflowPunct/>
              <w:topLinePunct w:val="0"/>
              <w:autoSpaceDE/>
              <w:autoSpaceDN/>
              <w:bidi w:val="0"/>
              <w:adjustRightInd/>
              <w:snapToGrid/>
              <w:spacing w:beforeLines="0" w:afterLines="0" w:line="360" w:lineRule="exact"/>
              <w:ind w:left="454" w:leftChars="0" w:hanging="454" w:firstLineChars="0"/>
              <w:jc w:val="center"/>
              <w:textAlignment w:val="auto"/>
              <w:rPr>
                <w:rFonts w:hint="eastAsia" w:ascii="仿宋_GB2312" w:hAnsi="仿宋_GB2312" w:eastAsia="仿宋_GB2312" w:cs="仿宋_GB2312"/>
                <w:color w:val="auto"/>
                <w:sz w:val="24"/>
                <w:szCs w:val="24"/>
                <w:highlight w:val="none"/>
              </w:rPr>
            </w:pPr>
          </w:p>
        </w:tc>
        <w:tc>
          <w:tcPr>
            <w:tcW w:w="1322" w:type="dxa"/>
            <w:tcBorders>
              <w:top w:val="single" w:color="auto" w:sz="4" w:space="0"/>
              <w:left w:val="single" w:color="auto" w:sz="4" w:space="0"/>
              <w:right w:val="single" w:color="auto" w:sz="4" w:space="0"/>
            </w:tcBorders>
            <w:noWrap w:val="0"/>
            <w:vAlign w:val="center"/>
          </w:tcPr>
          <w:p w14:paraId="3E469A29">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项目管理</w:t>
            </w:r>
          </w:p>
        </w:tc>
        <w:tc>
          <w:tcPr>
            <w:tcW w:w="6445" w:type="dxa"/>
            <w:tcBorders>
              <w:top w:val="single" w:color="auto" w:sz="4" w:space="0"/>
              <w:left w:val="single" w:color="auto" w:sz="4" w:space="0"/>
              <w:right w:val="single" w:color="auto" w:sz="4" w:space="0"/>
            </w:tcBorders>
            <w:noWrap w:val="0"/>
            <w:vAlign w:val="center"/>
          </w:tcPr>
          <w:p w14:paraId="3B71FDC9">
            <w:pPr>
              <w:widowControl/>
              <w:numPr>
                <w:ilvl w:val="0"/>
                <w:numId w:val="0"/>
              </w:numPr>
              <w:spacing w:after="0" w:line="400" w:lineRule="exact"/>
              <w:ind w:left="0" w:leftChars="0"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配合采购人开展以下工作：制定项目计划，监督和控制项目进度；负责管理安排项目资源；开展实施项目配置和交付管理以及项目质量管理；开展项目问题管理和项目风险管理；按照要求定期进行工作报告等。</w:t>
            </w:r>
          </w:p>
        </w:tc>
      </w:tr>
      <w:tr w14:paraId="2CAB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799" w:type="dxa"/>
            <w:tcBorders>
              <w:left w:val="single" w:color="auto" w:sz="4" w:space="0"/>
              <w:bottom w:val="single" w:color="auto" w:sz="4" w:space="0"/>
              <w:right w:val="single" w:color="auto" w:sz="4" w:space="0"/>
            </w:tcBorders>
            <w:noWrap w:val="0"/>
            <w:vAlign w:val="center"/>
          </w:tcPr>
          <w:p w14:paraId="016D9711">
            <w:pPr>
              <w:keepNext w:val="0"/>
              <w:keepLines w:val="0"/>
              <w:pageBreakBefore w:val="0"/>
              <w:numPr>
                <w:ilvl w:val="0"/>
                <w:numId w:val="3"/>
              </w:numPr>
              <w:tabs>
                <w:tab w:val="clear" w:pos="0"/>
              </w:tabs>
              <w:kinsoku/>
              <w:wordWrap/>
              <w:overflowPunct/>
              <w:topLinePunct w:val="0"/>
              <w:autoSpaceDE/>
              <w:autoSpaceDN/>
              <w:bidi w:val="0"/>
              <w:adjustRightInd/>
              <w:snapToGrid/>
              <w:spacing w:beforeLines="0" w:afterLines="0" w:line="360" w:lineRule="exact"/>
              <w:ind w:left="454" w:leftChars="0" w:hanging="454" w:firstLineChars="0"/>
              <w:jc w:val="center"/>
              <w:textAlignment w:val="auto"/>
              <w:rPr>
                <w:rFonts w:hint="eastAsia" w:ascii="仿宋_GB2312" w:hAnsi="仿宋_GB2312" w:eastAsia="仿宋_GB2312" w:cs="仿宋_GB2312"/>
                <w:color w:val="auto"/>
                <w:sz w:val="24"/>
                <w:szCs w:val="24"/>
                <w:highlight w:val="none"/>
              </w:rPr>
            </w:pPr>
          </w:p>
        </w:tc>
        <w:tc>
          <w:tcPr>
            <w:tcW w:w="1322" w:type="dxa"/>
            <w:tcBorders>
              <w:left w:val="single" w:color="auto" w:sz="4" w:space="0"/>
              <w:bottom w:val="single" w:color="auto" w:sz="4" w:space="0"/>
              <w:right w:val="single" w:color="auto" w:sz="4" w:space="0"/>
            </w:tcBorders>
            <w:noWrap w:val="0"/>
            <w:vAlign w:val="center"/>
          </w:tcPr>
          <w:p w14:paraId="112C0F6E">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需求分析</w:t>
            </w:r>
          </w:p>
        </w:tc>
        <w:tc>
          <w:tcPr>
            <w:tcW w:w="6445" w:type="dxa"/>
            <w:tcBorders>
              <w:left w:val="single" w:color="auto" w:sz="4" w:space="0"/>
              <w:bottom w:val="single" w:color="auto" w:sz="4" w:space="0"/>
              <w:right w:val="single" w:color="auto" w:sz="4" w:space="0"/>
            </w:tcBorders>
            <w:noWrap w:val="0"/>
            <w:vAlign w:val="center"/>
          </w:tcPr>
          <w:p w14:paraId="1D3A381F">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根据</w:t>
            </w:r>
            <w:r>
              <w:rPr>
                <w:rFonts w:hint="eastAsia" w:ascii="仿宋_GB2312" w:hAnsi="仿宋_GB2312" w:eastAsia="仿宋_GB2312" w:cs="仿宋_GB2312"/>
                <w:color w:val="auto"/>
                <w:sz w:val="24"/>
                <w:szCs w:val="24"/>
                <w:highlight w:val="none"/>
                <w:lang w:val="en-US" w:eastAsia="zh-CN"/>
              </w:rPr>
              <w:t>业务要求，梳理转化为业务对系统功能性和非功能性等具体要求，形成需求规格说明书。</w:t>
            </w:r>
          </w:p>
        </w:tc>
      </w:tr>
      <w:tr w14:paraId="6710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799" w:type="dxa"/>
            <w:tcBorders>
              <w:left w:val="single" w:color="auto" w:sz="4" w:space="0"/>
              <w:bottom w:val="single" w:color="auto" w:sz="4" w:space="0"/>
              <w:right w:val="single" w:color="auto" w:sz="4" w:space="0"/>
            </w:tcBorders>
            <w:noWrap w:val="0"/>
            <w:vAlign w:val="center"/>
          </w:tcPr>
          <w:p w14:paraId="01BD1B37">
            <w:pPr>
              <w:keepNext w:val="0"/>
              <w:keepLines w:val="0"/>
              <w:pageBreakBefore w:val="0"/>
              <w:numPr>
                <w:ilvl w:val="0"/>
                <w:numId w:val="3"/>
              </w:numPr>
              <w:tabs>
                <w:tab w:val="clear" w:pos="0"/>
              </w:tabs>
              <w:kinsoku/>
              <w:wordWrap/>
              <w:overflowPunct/>
              <w:topLinePunct w:val="0"/>
              <w:autoSpaceDE/>
              <w:autoSpaceDN/>
              <w:bidi w:val="0"/>
              <w:adjustRightInd/>
              <w:snapToGrid/>
              <w:spacing w:beforeLines="0" w:afterLines="0" w:line="360" w:lineRule="exact"/>
              <w:ind w:left="454" w:leftChars="0" w:hanging="454" w:firstLineChars="0"/>
              <w:jc w:val="center"/>
              <w:textAlignment w:val="auto"/>
              <w:rPr>
                <w:rFonts w:hint="eastAsia" w:ascii="仿宋_GB2312" w:hAnsi="仿宋_GB2312" w:eastAsia="仿宋_GB2312" w:cs="仿宋_GB2312"/>
                <w:color w:val="auto"/>
                <w:sz w:val="24"/>
                <w:szCs w:val="24"/>
                <w:highlight w:val="none"/>
              </w:rPr>
            </w:pPr>
          </w:p>
        </w:tc>
        <w:tc>
          <w:tcPr>
            <w:tcW w:w="1322" w:type="dxa"/>
            <w:tcBorders>
              <w:left w:val="single" w:color="auto" w:sz="4" w:space="0"/>
              <w:bottom w:val="single" w:color="auto" w:sz="4" w:space="0"/>
              <w:right w:val="single" w:color="auto" w:sz="4" w:space="0"/>
            </w:tcBorders>
            <w:noWrap w:val="0"/>
            <w:vAlign w:val="center"/>
          </w:tcPr>
          <w:p w14:paraId="0EC83DB8">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设</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lang w:eastAsia="zh-CN"/>
              </w:rPr>
              <w:t>计</w:t>
            </w:r>
          </w:p>
        </w:tc>
        <w:tc>
          <w:tcPr>
            <w:tcW w:w="6445" w:type="dxa"/>
            <w:tcBorders>
              <w:left w:val="single" w:color="auto" w:sz="4" w:space="0"/>
              <w:bottom w:val="single" w:color="auto" w:sz="4" w:space="0"/>
              <w:right w:val="single" w:color="auto" w:sz="4" w:space="0"/>
            </w:tcBorders>
            <w:noWrap w:val="0"/>
            <w:vAlign w:val="center"/>
          </w:tcPr>
          <w:p w14:paraId="05888613">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完成</w:t>
            </w:r>
            <w:r>
              <w:rPr>
                <w:rFonts w:hint="eastAsia" w:ascii="仿宋_GB2312" w:hAnsi="仿宋_GB2312" w:eastAsia="仿宋_GB2312" w:cs="仿宋_GB2312"/>
                <w:color w:val="auto"/>
                <w:sz w:val="24"/>
                <w:szCs w:val="24"/>
                <w:highlight w:val="none"/>
                <w:lang w:val="en-US" w:eastAsia="zh-CN"/>
              </w:rPr>
              <w:t>相关</w:t>
            </w:r>
            <w:r>
              <w:rPr>
                <w:rFonts w:hint="eastAsia" w:ascii="仿宋_GB2312" w:hAnsi="仿宋_GB2312" w:eastAsia="仿宋_GB2312" w:cs="仿宋_GB2312"/>
                <w:color w:val="auto"/>
                <w:sz w:val="24"/>
                <w:szCs w:val="24"/>
                <w:highlight w:val="none"/>
                <w:lang w:eastAsia="zh-CN"/>
              </w:rPr>
              <w:t>物理子系统的概要设计、详细设计等相关工作，形成相应</w:t>
            </w:r>
            <w:r>
              <w:rPr>
                <w:rFonts w:hint="eastAsia" w:ascii="仿宋_GB2312" w:hAnsi="仿宋_GB2312" w:eastAsia="仿宋_GB2312" w:cs="仿宋_GB2312"/>
                <w:color w:val="auto"/>
                <w:sz w:val="24"/>
                <w:szCs w:val="24"/>
                <w:highlight w:val="none"/>
                <w:lang w:val="en-US" w:eastAsia="zh-CN"/>
              </w:rPr>
              <w:t>设计</w:t>
            </w:r>
            <w:r>
              <w:rPr>
                <w:rFonts w:hint="eastAsia" w:ascii="仿宋_GB2312" w:hAnsi="仿宋_GB2312" w:eastAsia="仿宋_GB2312" w:cs="仿宋_GB2312"/>
                <w:color w:val="auto"/>
                <w:sz w:val="24"/>
                <w:szCs w:val="24"/>
                <w:highlight w:val="none"/>
                <w:lang w:eastAsia="zh-CN"/>
              </w:rPr>
              <w:t>说明书。</w:t>
            </w:r>
          </w:p>
        </w:tc>
      </w:tr>
      <w:tr w14:paraId="5164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799" w:type="dxa"/>
            <w:tcBorders>
              <w:top w:val="single" w:color="auto" w:sz="4" w:space="0"/>
              <w:left w:val="single" w:color="auto" w:sz="4" w:space="0"/>
              <w:right w:val="single" w:color="auto" w:sz="4" w:space="0"/>
            </w:tcBorders>
            <w:noWrap w:val="0"/>
            <w:vAlign w:val="center"/>
          </w:tcPr>
          <w:p w14:paraId="11EC7CDC">
            <w:pPr>
              <w:keepNext w:val="0"/>
              <w:keepLines w:val="0"/>
              <w:pageBreakBefore w:val="0"/>
              <w:numPr>
                <w:ilvl w:val="0"/>
                <w:numId w:val="3"/>
              </w:numPr>
              <w:tabs>
                <w:tab w:val="clear" w:pos="0"/>
              </w:tabs>
              <w:kinsoku/>
              <w:wordWrap/>
              <w:overflowPunct/>
              <w:topLinePunct w:val="0"/>
              <w:autoSpaceDE/>
              <w:autoSpaceDN/>
              <w:bidi w:val="0"/>
              <w:adjustRightInd/>
              <w:snapToGrid/>
              <w:spacing w:beforeLines="0" w:afterLines="0" w:line="360" w:lineRule="exact"/>
              <w:ind w:left="454" w:leftChars="0" w:hanging="454" w:firstLineChars="0"/>
              <w:jc w:val="center"/>
              <w:textAlignment w:val="auto"/>
              <w:rPr>
                <w:rFonts w:hint="eastAsia" w:ascii="仿宋_GB2312" w:hAnsi="仿宋_GB2312" w:eastAsia="仿宋_GB2312" w:cs="仿宋_GB2312"/>
                <w:color w:val="auto"/>
                <w:sz w:val="24"/>
                <w:szCs w:val="24"/>
                <w:highlight w:val="none"/>
              </w:rPr>
            </w:pPr>
          </w:p>
        </w:tc>
        <w:tc>
          <w:tcPr>
            <w:tcW w:w="1322" w:type="dxa"/>
            <w:tcBorders>
              <w:top w:val="single" w:color="auto" w:sz="4" w:space="0"/>
              <w:left w:val="single" w:color="auto" w:sz="4" w:space="0"/>
              <w:right w:val="single" w:color="auto" w:sz="4" w:space="0"/>
            </w:tcBorders>
            <w:noWrap w:val="0"/>
            <w:vAlign w:val="center"/>
          </w:tcPr>
          <w:p w14:paraId="41E151B7">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开  发</w:t>
            </w:r>
          </w:p>
        </w:tc>
        <w:tc>
          <w:tcPr>
            <w:tcW w:w="6445" w:type="dxa"/>
            <w:tcBorders>
              <w:top w:val="single" w:color="auto" w:sz="4" w:space="0"/>
              <w:left w:val="single" w:color="auto" w:sz="4" w:space="0"/>
              <w:right w:val="single" w:color="auto" w:sz="4" w:space="0"/>
            </w:tcBorders>
            <w:noWrap w:val="0"/>
            <w:vAlign w:val="center"/>
          </w:tcPr>
          <w:p w14:paraId="5330B854">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根据功能设计按计划完成开发，实现设计功能</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完成单元测试等工作。</w:t>
            </w:r>
          </w:p>
        </w:tc>
      </w:tr>
      <w:tr w14:paraId="3367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799" w:type="dxa"/>
            <w:tcBorders>
              <w:top w:val="single" w:color="auto" w:sz="4" w:space="0"/>
              <w:left w:val="single" w:color="auto" w:sz="4" w:space="0"/>
              <w:right w:val="single" w:color="auto" w:sz="4" w:space="0"/>
            </w:tcBorders>
            <w:noWrap w:val="0"/>
            <w:vAlign w:val="center"/>
          </w:tcPr>
          <w:p w14:paraId="07B789C4">
            <w:pPr>
              <w:keepNext w:val="0"/>
              <w:keepLines w:val="0"/>
              <w:pageBreakBefore w:val="0"/>
              <w:numPr>
                <w:ilvl w:val="0"/>
                <w:numId w:val="3"/>
              </w:numPr>
              <w:tabs>
                <w:tab w:val="clear" w:pos="0"/>
              </w:tabs>
              <w:kinsoku/>
              <w:wordWrap/>
              <w:overflowPunct/>
              <w:topLinePunct w:val="0"/>
              <w:autoSpaceDE/>
              <w:autoSpaceDN/>
              <w:bidi w:val="0"/>
              <w:adjustRightInd/>
              <w:snapToGrid/>
              <w:spacing w:beforeLines="0" w:afterLines="0" w:line="360" w:lineRule="exact"/>
              <w:ind w:left="454" w:leftChars="0" w:hanging="454" w:firstLineChars="0"/>
              <w:jc w:val="center"/>
              <w:textAlignment w:val="auto"/>
              <w:rPr>
                <w:rFonts w:hint="eastAsia" w:ascii="仿宋_GB2312" w:hAnsi="仿宋_GB2312" w:eastAsia="仿宋_GB2312" w:cs="仿宋_GB2312"/>
                <w:color w:val="auto"/>
                <w:sz w:val="24"/>
                <w:szCs w:val="24"/>
                <w:highlight w:val="none"/>
              </w:rPr>
            </w:pPr>
          </w:p>
        </w:tc>
        <w:tc>
          <w:tcPr>
            <w:tcW w:w="1322" w:type="dxa"/>
            <w:tcBorders>
              <w:top w:val="single" w:color="auto" w:sz="4" w:space="0"/>
              <w:left w:val="single" w:color="auto" w:sz="4" w:space="0"/>
              <w:right w:val="single" w:color="auto" w:sz="4" w:space="0"/>
            </w:tcBorders>
            <w:noWrap w:val="0"/>
            <w:vAlign w:val="center"/>
          </w:tcPr>
          <w:p w14:paraId="3E619F6C">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测  试</w:t>
            </w:r>
          </w:p>
        </w:tc>
        <w:tc>
          <w:tcPr>
            <w:tcW w:w="6445" w:type="dxa"/>
            <w:tcBorders>
              <w:top w:val="single" w:color="auto" w:sz="4" w:space="0"/>
              <w:left w:val="single" w:color="auto" w:sz="4" w:space="0"/>
              <w:right w:val="single" w:color="auto" w:sz="4" w:space="0"/>
            </w:tcBorders>
            <w:noWrap w:val="0"/>
            <w:vAlign w:val="center"/>
          </w:tcPr>
          <w:p w14:paraId="0C6F9EE6">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开展产品、系统集成等测试工作，包括测试计划、准备和执行，完成测试案例、脚本及数据的编制和准备，及时组织系统修补和必要的回归测试，形成测试报告；协助开展用户验收测试相关工作。</w:t>
            </w:r>
          </w:p>
        </w:tc>
      </w:tr>
      <w:tr w14:paraId="2C43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799" w:type="dxa"/>
            <w:tcBorders>
              <w:top w:val="single" w:color="auto" w:sz="4" w:space="0"/>
              <w:left w:val="single" w:color="auto" w:sz="4" w:space="0"/>
              <w:right w:val="single" w:color="auto" w:sz="4" w:space="0"/>
            </w:tcBorders>
            <w:noWrap w:val="0"/>
            <w:vAlign w:val="center"/>
          </w:tcPr>
          <w:p w14:paraId="325AD5B2">
            <w:pPr>
              <w:keepNext w:val="0"/>
              <w:keepLines w:val="0"/>
              <w:pageBreakBefore w:val="0"/>
              <w:numPr>
                <w:ilvl w:val="0"/>
                <w:numId w:val="3"/>
              </w:numPr>
              <w:tabs>
                <w:tab w:val="clear" w:pos="0"/>
              </w:tabs>
              <w:kinsoku/>
              <w:wordWrap/>
              <w:overflowPunct/>
              <w:topLinePunct w:val="0"/>
              <w:autoSpaceDE/>
              <w:autoSpaceDN/>
              <w:bidi w:val="0"/>
              <w:adjustRightInd/>
              <w:snapToGrid/>
              <w:spacing w:beforeLines="0" w:afterLines="0" w:line="360" w:lineRule="exact"/>
              <w:ind w:left="454" w:leftChars="0" w:hanging="454" w:firstLineChars="0"/>
              <w:jc w:val="center"/>
              <w:textAlignment w:val="auto"/>
              <w:rPr>
                <w:rFonts w:hint="eastAsia" w:ascii="仿宋_GB2312" w:hAnsi="仿宋_GB2312" w:eastAsia="仿宋_GB2312" w:cs="仿宋_GB2312"/>
                <w:color w:val="auto"/>
                <w:sz w:val="24"/>
                <w:szCs w:val="24"/>
                <w:highlight w:val="none"/>
              </w:rPr>
            </w:pPr>
          </w:p>
        </w:tc>
        <w:tc>
          <w:tcPr>
            <w:tcW w:w="1322" w:type="dxa"/>
            <w:tcBorders>
              <w:top w:val="single" w:color="auto" w:sz="4" w:space="0"/>
              <w:left w:val="single" w:color="auto" w:sz="4" w:space="0"/>
              <w:right w:val="single" w:color="auto" w:sz="4" w:space="0"/>
            </w:tcBorders>
            <w:noWrap w:val="0"/>
            <w:vAlign w:val="center"/>
          </w:tcPr>
          <w:p w14:paraId="2F7CAA7B">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投产运维</w:t>
            </w:r>
          </w:p>
        </w:tc>
        <w:tc>
          <w:tcPr>
            <w:tcW w:w="6445" w:type="dxa"/>
            <w:tcBorders>
              <w:top w:val="single" w:color="auto" w:sz="4" w:space="0"/>
              <w:left w:val="single" w:color="auto" w:sz="4" w:space="0"/>
              <w:right w:val="single" w:color="auto" w:sz="4" w:space="0"/>
            </w:tcBorders>
            <w:noWrap w:val="0"/>
            <w:vAlign w:val="center"/>
          </w:tcPr>
          <w:p w14:paraId="19B363AC">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为系统投产演练和投产上线等提供必要支持，包括但不限于各类方案计划和流程策略的制定、现场人员支持及运维培训等工作。</w:t>
            </w:r>
          </w:p>
        </w:tc>
      </w:tr>
      <w:tr w14:paraId="054F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799" w:type="dxa"/>
            <w:tcBorders>
              <w:top w:val="single" w:color="auto" w:sz="4" w:space="0"/>
              <w:left w:val="single" w:color="auto" w:sz="4" w:space="0"/>
              <w:right w:val="single" w:color="auto" w:sz="4" w:space="0"/>
            </w:tcBorders>
            <w:noWrap w:val="0"/>
            <w:vAlign w:val="center"/>
          </w:tcPr>
          <w:p w14:paraId="4F7E1DA8">
            <w:pPr>
              <w:keepNext w:val="0"/>
              <w:keepLines w:val="0"/>
              <w:pageBreakBefore w:val="0"/>
              <w:numPr>
                <w:ilvl w:val="0"/>
                <w:numId w:val="3"/>
              </w:numPr>
              <w:tabs>
                <w:tab w:val="clear" w:pos="0"/>
              </w:tabs>
              <w:kinsoku/>
              <w:wordWrap/>
              <w:overflowPunct/>
              <w:topLinePunct w:val="0"/>
              <w:autoSpaceDE/>
              <w:autoSpaceDN/>
              <w:bidi w:val="0"/>
              <w:adjustRightInd/>
              <w:snapToGrid/>
              <w:spacing w:beforeLines="0" w:afterLines="0" w:line="360" w:lineRule="exact"/>
              <w:ind w:left="454" w:leftChars="0" w:hanging="454" w:firstLineChars="0"/>
              <w:jc w:val="center"/>
              <w:textAlignment w:val="auto"/>
              <w:rPr>
                <w:rFonts w:hint="eastAsia" w:ascii="仿宋_GB2312" w:hAnsi="仿宋_GB2312" w:eastAsia="仿宋_GB2312" w:cs="仿宋_GB2312"/>
                <w:color w:val="auto"/>
                <w:sz w:val="24"/>
                <w:szCs w:val="24"/>
                <w:highlight w:val="none"/>
              </w:rPr>
            </w:pPr>
          </w:p>
        </w:tc>
        <w:tc>
          <w:tcPr>
            <w:tcW w:w="1322" w:type="dxa"/>
            <w:tcBorders>
              <w:top w:val="single" w:color="auto" w:sz="4" w:space="0"/>
              <w:left w:val="single" w:color="auto" w:sz="4" w:space="0"/>
              <w:right w:val="single" w:color="auto" w:sz="4" w:space="0"/>
            </w:tcBorders>
            <w:noWrap w:val="0"/>
            <w:vAlign w:val="center"/>
          </w:tcPr>
          <w:p w14:paraId="4706FFF8">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bookmarkStart w:id="21" w:name="OLE_LINK1"/>
            <w:r>
              <w:rPr>
                <w:rFonts w:hint="eastAsia" w:ascii="仿宋_GB2312" w:hAnsi="仿宋_GB2312" w:eastAsia="仿宋_GB2312" w:cs="仿宋_GB2312"/>
                <w:color w:val="auto"/>
                <w:sz w:val="24"/>
                <w:szCs w:val="24"/>
                <w:highlight w:val="none"/>
                <w:lang w:val="en-US" w:eastAsia="zh-CN"/>
              </w:rPr>
              <w:t>保修服务</w:t>
            </w:r>
            <w:bookmarkEnd w:id="21"/>
          </w:p>
        </w:tc>
        <w:tc>
          <w:tcPr>
            <w:tcW w:w="6445" w:type="dxa"/>
            <w:tcBorders>
              <w:top w:val="single" w:color="auto" w:sz="4" w:space="0"/>
              <w:left w:val="single" w:color="auto" w:sz="4" w:space="0"/>
              <w:right w:val="single" w:color="auto" w:sz="4" w:space="0"/>
            </w:tcBorders>
            <w:noWrap w:val="0"/>
            <w:vAlign w:val="center"/>
          </w:tcPr>
          <w:p w14:paraId="688C24CC">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在本项目投产后至合同周期结束前，安排人员负责本项目开发、改造功能的保修工作。</w:t>
            </w:r>
          </w:p>
        </w:tc>
      </w:tr>
      <w:tr w14:paraId="010D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99" w:type="dxa"/>
            <w:tcBorders>
              <w:top w:val="single" w:color="auto" w:sz="4" w:space="0"/>
              <w:left w:val="single" w:color="auto" w:sz="4" w:space="0"/>
              <w:right w:val="single" w:color="auto" w:sz="4" w:space="0"/>
            </w:tcBorders>
            <w:noWrap w:val="0"/>
            <w:vAlign w:val="center"/>
          </w:tcPr>
          <w:p w14:paraId="5709E85D">
            <w:pPr>
              <w:keepNext w:val="0"/>
              <w:keepLines w:val="0"/>
              <w:pageBreakBefore w:val="0"/>
              <w:numPr>
                <w:ilvl w:val="0"/>
                <w:numId w:val="3"/>
              </w:numPr>
              <w:tabs>
                <w:tab w:val="clear" w:pos="0"/>
              </w:tabs>
              <w:kinsoku/>
              <w:wordWrap/>
              <w:overflowPunct/>
              <w:topLinePunct w:val="0"/>
              <w:autoSpaceDE/>
              <w:autoSpaceDN/>
              <w:bidi w:val="0"/>
              <w:adjustRightInd/>
              <w:snapToGrid/>
              <w:spacing w:beforeLines="0" w:afterLines="0" w:line="360" w:lineRule="exact"/>
              <w:ind w:left="454" w:leftChars="0" w:hanging="454" w:firstLineChars="0"/>
              <w:jc w:val="center"/>
              <w:textAlignment w:val="auto"/>
              <w:rPr>
                <w:rFonts w:hint="eastAsia" w:ascii="仿宋_GB2312" w:hAnsi="仿宋_GB2312" w:eastAsia="仿宋_GB2312" w:cs="仿宋_GB2312"/>
                <w:color w:val="auto"/>
                <w:sz w:val="24"/>
                <w:szCs w:val="24"/>
                <w:highlight w:val="none"/>
              </w:rPr>
            </w:pPr>
          </w:p>
        </w:tc>
        <w:tc>
          <w:tcPr>
            <w:tcW w:w="1322" w:type="dxa"/>
            <w:tcBorders>
              <w:top w:val="single" w:color="auto" w:sz="4" w:space="0"/>
              <w:left w:val="single" w:color="auto" w:sz="4" w:space="0"/>
              <w:right w:val="single" w:color="auto" w:sz="4" w:space="0"/>
            </w:tcBorders>
            <w:noWrap w:val="0"/>
            <w:vAlign w:val="center"/>
          </w:tcPr>
          <w:p w14:paraId="54D5F6BA">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培训及知识转移</w:t>
            </w:r>
          </w:p>
        </w:tc>
        <w:tc>
          <w:tcPr>
            <w:tcW w:w="6445" w:type="dxa"/>
            <w:tcBorders>
              <w:top w:val="single" w:color="auto" w:sz="4" w:space="0"/>
              <w:left w:val="single" w:color="auto" w:sz="4" w:space="0"/>
              <w:right w:val="single" w:color="auto" w:sz="4" w:space="0"/>
            </w:tcBorders>
            <w:noWrap w:val="0"/>
            <w:vAlign w:val="center"/>
          </w:tcPr>
          <w:p w14:paraId="49CCC1D0">
            <w:pPr>
              <w:keepNext w:val="0"/>
              <w:keepLines w:val="0"/>
              <w:pageBreakBefore w:val="0"/>
              <w:widowControl/>
              <w:kinsoku/>
              <w:wordWrap/>
              <w:overflowPunct/>
              <w:topLinePunct w:val="0"/>
              <w:autoSpaceDE/>
              <w:autoSpaceDN/>
              <w:bidi w:val="0"/>
              <w:adjustRightInd/>
              <w:snapToGrid/>
              <w:spacing w:beforeLines="0" w:afterLines="0" w:line="36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通过必要培训使采购人相关人员，以及采购人指定的人员（包括第三方人员），熟悉系统内容和功能，以及使用权限划分与操作方式，包括系统架构、部署运维、参数配置等内容；提供完备的培训材料；掌握本项目新客户化开发部分功能的二次开发能力。</w:t>
            </w:r>
          </w:p>
        </w:tc>
      </w:tr>
    </w:tbl>
    <w:p w14:paraId="2867F6BB">
      <w:pPr>
        <w:keepNext/>
        <w:keepLines/>
        <w:pageBreakBefore w:val="0"/>
        <w:widowControl w:val="0"/>
        <w:numPr>
          <w:ilvl w:val="0"/>
          <w:numId w:val="0"/>
        </w:numPr>
        <w:kinsoku/>
        <w:wordWrap/>
        <w:overflowPunct/>
        <w:topLinePunct w:val="0"/>
        <w:autoSpaceDE/>
        <w:autoSpaceDN/>
        <w:bidi w:val="0"/>
        <w:adjustRightInd w:val="0"/>
        <w:snapToGrid/>
        <w:spacing w:before="157" w:beforeLines="50" w:after="0" w:afterLines="0" w:line="560" w:lineRule="exact"/>
        <w:ind w:firstLine="480" w:firstLineChars="200"/>
        <w:jc w:val="both"/>
        <w:textAlignment w:val="baseline"/>
        <w:outlineLvl w:val="0"/>
        <w:rPr>
          <w:rFonts w:hint="eastAsia" w:ascii="仿宋_GB2312" w:hAnsi="仿宋_GB2312" w:eastAsia="仿宋_GB2312" w:cs="仿宋_GB2312"/>
          <w:b w:val="0"/>
          <w:bCs w:val="0"/>
          <w:color w:val="auto"/>
          <w:kern w:val="2"/>
          <w:sz w:val="24"/>
          <w:szCs w:val="24"/>
          <w:highlight w:val="none"/>
          <w:lang w:val="en-US" w:eastAsia="zh-CN" w:bidi="ar-SA"/>
        </w:rPr>
      </w:pPr>
      <w:bookmarkStart w:id="22" w:name="_Toc12796"/>
      <w:bookmarkStart w:id="23" w:name="_Toc1880"/>
      <w:bookmarkStart w:id="24" w:name="_Toc628"/>
      <w:r>
        <w:rPr>
          <w:rFonts w:hint="eastAsia" w:ascii="黑体" w:hAnsi="黑体" w:eastAsia="黑体" w:cs="黑体"/>
          <w:b w:val="0"/>
          <w:bCs w:val="0"/>
          <w:color w:val="auto"/>
          <w:kern w:val="2"/>
          <w:sz w:val="24"/>
          <w:szCs w:val="24"/>
          <w:highlight w:val="none"/>
          <w:lang w:val="en-US" w:eastAsia="zh-CN" w:bidi="ar-SA"/>
        </w:rPr>
        <w:t>三、业务要求</w:t>
      </w:r>
      <w:bookmarkEnd w:id="22"/>
      <w:bookmarkEnd w:id="23"/>
    </w:p>
    <w:p w14:paraId="4004FD99">
      <w:pPr>
        <w:keepLines w:val="0"/>
        <w:pageBreakBefore w:val="0"/>
        <w:widowControl w:val="0"/>
        <w:numPr>
          <w:ilvl w:val="0"/>
          <w:numId w:val="0"/>
        </w:numPr>
        <w:kinsoku/>
        <w:overflowPunct/>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需按采购人实施计划</w:t>
      </w:r>
      <w:r>
        <w:rPr>
          <w:rFonts w:hint="eastAsia" w:ascii="仿宋_GB2312" w:hAnsi="仿宋_GB2312" w:eastAsia="仿宋_GB2312" w:cs="仿宋_GB2312"/>
          <w:color w:val="auto"/>
          <w:sz w:val="24"/>
          <w:szCs w:val="24"/>
          <w:highlight w:val="none"/>
          <w:lang w:val="en-US" w:eastAsia="zh-CN"/>
        </w:rPr>
        <w:t>完成系统功能改造并投产上线。各业务需求说明书中对需求提出了详细的业务要求和调整内容。需求整体介绍情况如下：</w:t>
      </w:r>
    </w:p>
    <w:p w14:paraId="06C73F07">
      <w:pPr>
        <w:widowControl w:val="0"/>
        <w:ind w:firstLine="420"/>
        <w:jc w:val="both"/>
        <w:rPr>
          <w:rFonts w:hint="eastAsia" w:ascii="仿宋_GB2312" w:hAnsi="仿宋_GB2312" w:eastAsia="仿宋_GB2312" w:cs="仿宋_GB2312"/>
          <w:color w:val="auto"/>
          <w:kern w:val="2"/>
          <w:sz w:val="24"/>
          <w:szCs w:val="24"/>
          <w:highlight w:val="none"/>
          <w:lang w:val="en-US" w:eastAsia="zh-CN" w:bidi="ar-SA"/>
        </w:rPr>
      </w:pPr>
    </w:p>
    <w:p w14:paraId="6F8DC8DC">
      <w:pPr>
        <w:widowControl w:val="0"/>
        <w:jc w:val="both"/>
        <w:rPr>
          <w:rFonts w:hint="eastAsia" w:ascii="仿宋_GB2312" w:hAnsi="仿宋_GB2312" w:eastAsia="仿宋_GB2312" w:cs="仿宋_GB2312"/>
          <w:color w:val="auto"/>
          <w:kern w:val="2"/>
          <w:sz w:val="24"/>
          <w:szCs w:val="24"/>
          <w:highlight w:val="none"/>
          <w:lang w:val="en-US" w:eastAsia="zh-CN" w:bidi="ar-SA"/>
        </w:rPr>
      </w:pPr>
    </w:p>
    <w:tbl>
      <w:tblPr>
        <w:tblStyle w:val="1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0"/>
        <w:gridCol w:w="1246"/>
        <w:gridCol w:w="2323"/>
        <w:gridCol w:w="4200"/>
      </w:tblGrid>
      <w:tr w14:paraId="37BBE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9" w:hRule="atLeast"/>
          <w:tblHeader/>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CED5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sz w:val="24"/>
                <w:szCs w:val="24"/>
                <w:highlight w:val="none"/>
                <w:u w:val="none"/>
              </w:rPr>
            </w:pPr>
            <w:r>
              <w:rPr>
                <w:rFonts w:hint="eastAsia" w:ascii="仿宋_GB2312" w:hAnsi="仿宋_GB2312" w:eastAsia="仿宋_GB2312" w:cs="仿宋_GB2312"/>
                <w:b w:val="0"/>
                <w:bCs w:val="0"/>
                <w:i w:val="0"/>
                <w:iCs w:val="0"/>
                <w:color w:val="auto"/>
                <w:kern w:val="0"/>
                <w:sz w:val="24"/>
                <w:szCs w:val="24"/>
                <w:highlight w:val="none"/>
                <w:u w:val="none"/>
                <w:lang w:val="en-US" w:eastAsia="zh-CN" w:bidi="ar"/>
              </w:rPr>
              <w:t>序号</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80EC">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kern w:val="0"/>
                <w:sz w:val="24"/>
                <w:szCs w:val="24"/>
                <w:highlight w:val="none"/>
                <w:u w:val="none"/>
                <w:lang w:val="en-US" w:eastAsia="zh-CN" w:bidi="ar"/>
              </w:rPr>
            </w:pPr>
            <w:r>
              <w:rPr>
                <w:rFonts w:hint="eastAsia" w:ascii="仿宋_GB2312" w:hAnsi="仿宋_GB2312" w:eastAsia="仿宋_GB2312" w:cs="仿宋_GB2312"/>
                <w:b w:val="0"/>
                <w:bCs w:val="0"/>
                <w:i w:val="0"/>
                <w:iCs w:val="0"/>
                <w:color w:val="auto"/>
                <w:kern w:val="0"/>
                <w:sz w:val="24"/>
                <w:szCs w:val="24"/>
                <w:highlight w:val="none"/>
                <w:u w:val="none"/>
                <w:lang w:val="en-US" w:eastAsia="zh-CN" w:bidi="ar"/>
              </w:rPr>
              <w:t>分类</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C39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sz w:val="24"/>
                <w:szCs w:val="24"/>
                <w:highlight w:val="none"/>
                <w:u w:val="none"/>
              </w:rPr>
            </w:pPr>
            <w:r>
              <w:rPr>
                <w:rFonts w:hint="eastAsia" w:ascii="仿宋_GB2312" w:hAnsi="仿宋_GB2312" w:eastAsia="仿宋_GB2312" w:cs="仿宋_GB2312"/>
                <w:b w:val="0"/>
                <w:bCs w:val="0"/>
                <w:i w:val="0"/>
                <w:iCs w:val="0"/>
                <w:color w:val="auto"/>
                <w:kern w:val="0"/>
                <w:sz w:val="24"/>
                <w:szCs w:val="24"/>
                <w:highlight w:val="none"/>
                <w:u w:val="none"/>
                <w:lang w:val="en-US" w:eastAsia="zh-CN" w:bidi="ar"/>
              </w:rPr>
              <w:t>需求简称</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5314">
            <w:pPr>
              <w:keepNext w:val="0"/>
              <w:keepLines w:val="0"/>
              <w:widowControl/>
              <w:suppressLineNumbers w:val="0"/>
              <w:jc w:val="both"/>
              <w:textAlignment w:val="center"/>
              <w:rPr>
                <w:rFonts w:hint="eastAsia" w:ascii="仿宋_GB2312" w:hAnsi="仿宋_GB2312" w:eastAsia="仿宋_GB2312" w:cs="仿宋_GB2312"/>
                <w:b w:val="0"/>
                <w:bCs w:val="0"/>
                <w:i w:val="0"/>
                <w:iCs w:val="0"/>
                <w:color w:val="auto"/>
                <w:sz w:val="24"/>
                <w:szCs w:val="24"/>
                <w:highlight w:val="none"/>
                <w:u w:val="none"/>
              </w:rPr>
            </w:pPr>
            <w:r>
              <w:rPr>
                <w:rFonts w:hint="eastAsia" w:ascii="仿宋_GB2312" w:hAnsi="仿宋_GB2312" w:eastAsia="仿宋_GB2312" w:cs="仿宋_GB2312"/>
                <w:b w:val="0"/>
                <w:bCs w:val="0"/>
                <w:i w:val="0"/>
                <w:iCs w:val="0"/>
                <w:color w:val="auto"/>
                <w:kern w:val="0"/>
                <w:sz w:val="24"/>
                <w:szCs w:val="24"/>
                <w:highlight w:val="none"/>
                <w:u w:val="none"/>
                <w:lang w:val="en-US" w:eastAsia="zh-CN" w:bidi="ar"/>
              </w:rPr>
              <w:t>业务需求概述</w:t>
            </w:r>
          </w:p>
        </w:tc>
      </w:tr>
      <w:tr w14:paraId="47C2D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78BE6">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1C47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经营分析优化</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F129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增加金融机构客户合作情况统计表</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5602">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新增5张报表：金融机构客户综合信息表，银团贷款合作情况表及下钻明细表，信贷项目投保情况表和金融机构客户授信工作统计表。</w:t>
            </w:r>
          </w:p>
        </w:tc>
      </w:tr>
      <w:tr w14:paraId="6B4E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EB6D9">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630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经营分析优化</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59C6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新增内部评级运行情况信息。</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1170E">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新增内部评级运行情况统计信息（涉及新增7张表：主权客户历次评级情况表（非机控评级）、主权客户历次评级情况表（机控评级）、集团客户历次评级情况表、信贷客户历次评级情况表（非机控评级）、信贷客户历次评级情况表（机控评级）、信贷客户试评级明细情况表和信贷客户评级变动情况表），对相关数据实现季度性的查询和下载功能。</w:t>
            </w:r>
          </w:p>
        </w:tc>
      </w:tr>
      <w:tr w14:paraId="6B752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9B88B">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0EC3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反洗钱优化升级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222F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反洗钱清单监测系统优化需求（2024新需求)-反洗钱清单监测系统预警任务自动分发和导出功能需求</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645A6">
            <w:pPr>
              <w:keepNext w:val="0"/>
              <w:keepLines w:val="0"/>
              <w:widowControl/>
              <w:numPr>
                <w:ilvl w:val="-1"/>
                <w:numId w:val="0"/>
              </w:numPr>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1.对于XML格式的汇入报文，由清单监测系统读取收报报文Creditoragent标签对应的BIC编码进行任务分发。</w:t>
            </w:r>
          </w:p>
          <w:p w14:paraId="3FBE97E4">
            <w:pPr>
              <w:keepNext w:val="0"/>
              <w:keepLines w:val="0"/>
              <w:widowControl/>
              <w:numPr>
                <w:ilvl w:val="-1"/>
                <w:numId w:val="0"/>
              </w:numPr>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bidi="ar"/>
              </w:rPr>
            </w:pPr>
            <w:r>
              <w:rPr>
                <w:rFonts w:hint="eastAsia" w:ascii="仿宋_GB2312" w:hAnsi="仿宋_GB2312" w:eastAsia="仿宋_GB2312" w:cs="仿宋_GB2312"/>
                <w:i w:val="0"/>
                <w:iCs w:val="0"/>
                <w:color w:val="auto"/>
                <w:kern w:val="0"/>
                <w:sz w:val="24"/>
                <w:szCs w:val="24"/>
                <w:highlight w:val="none"/>
                <w:u w:val="none"/>
                <w:lang w:val="en-US" w:eastAsia="zh-CN" w:bidi="ar"/>
              </w:rPr>
              <w:t>2.对于MT格式的汇入报文，如果收报行行号为EIBCCNBJBKD，应分发至总行任务队列，由运营管理部进行业务审核。</w:t>
            </w:r>
          </w:p>
        </w:tc>
      </w:tr>
      <w:tr w14:paraId="61975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CDA39">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24D3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反洗钱优化升级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350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反洗钱模块中洗钱风险评级任务增加到期提醒</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3D11E">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1.员工渠道中洗钱风险等级评定任务一经生成，在反洗钱等级分类经办岗“待办”事项列示；评定任务由经办岗确认后，在反洗钱等级分类复核岗“待办”事项列示。上述任务完成后可以取消“待办”显示。</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2.增加邮件、短信提醒功能。在洗钱风险等级评定任务到期前三个工作日通过邮件、短信，分别提醒反洗钱等级分类经办</w:t>
            </w:r>
          </w:p>
          <w:p w14:paraId="7169E9F9">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岗、复核岗人员。</w:t>
            </w:r>
          </w:p>
        </w:tc>
      </w:tr>
      <w:tr w14:paraId="384BF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7C90">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809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反洗钱优化升级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E693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调整由查冻扣触发的洗钱风险评级任务的触发周期</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31EB7">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1.查冻扣触发评级任务规则优化：修改触发规则，当查冻扣系统中发起查询的“有权机关名称”字段包含“人民法院”时，不触发洗钱风险评级任务。其余触发条件</w:t>
            </w:r>
          </w:p>
          <w:p w14:paraId="66C4C6BF">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与之前保持一致。</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2.可疑交易模型参数调整：将附件中0420版可疑模型的参数“19nstm032疑似幌子公司模型-经营其他业务公司（除丹东）”修改为指定内容，涉及开户行在敏感地区、行业类别为幌子公司敏感行业、账户或交易对手名字存在敏感字段等参数调整。</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经营单位反映，当前采购人反洗钱系统在查冻扣信息触发评级任务存在可优化的功能。同时需调整可疑交易模型参数。</w:t>
            </w:r>
          </w:p>
        </w:tc>
      </w:tr>
      <w:tr w14:paraId="6643F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65E2F">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FD98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监管报送制度升级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B328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保理公司纳入征信报送范围</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84F7">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采购人对于可售产品国内保理（有追索权）的征信报送规则为按人行要求报送申请人征信，但商业保理这个客户类型并未纳入征信报送范围；现提优化需求将商业保理公司这个客户类型纳入征信报送范围</w:t>
            </w:r>
          </w:p>
        </w:tc>
      </w:tr>
      <w:tr w14:paraId="2D28B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615A8">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70ED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监管报送制度升级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7C0E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财会部EAST5.0账户状态和交易渠道字段取数规则优化需求</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8823">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1.407内部分户账表“账户状态”字段说明（数据项说明）：正常，预销户，销户，冻结，止付，其他-银行自定义。无法以枚举类型填报的，以“其他-XX”填报，其中“XX”为银行自定义类型。</w:t>
            </w:r>
          </w:p>
          <w:p w14:paraId="225826DD">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2.406对公存款分户账明细记录表、408内部分户账明细记录表、412对公信贷分户账明细记录表“交易渠道”字段说明（数据项说明）：柜面，ATM，VTM，POS，网银，手机银行，银联交易，第三方支付-银行自定义，其他-银行自定义。交易类型为第三方支付的，以“第三方支付-XX”填报，其中“XX”为第三方支付平台名称。如无法以枚举类型填报，则以“其他-XX”填报，其中“XX”为银行自定义类型。</w:t>
            </w:r>
          </w:p>
        </w:tc>
      </w:tr>
      <w:tr w14:paraId="344BF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1"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C2B4B">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BE3B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监管报送制度升级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70C7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【SX007-EAST迎检】四川EAST财会类报表取数规则完善需求</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四川分行当前EAST 406《对公存款分户账明细记录》特定场景下附言取数为空，需调整EAST《对公存款分户账明细记录》附言取数逻辑。</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19645">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员工渠道-临柜经办岗-支付结算-外汇综合查询明细中，汇款“附言”，能够实现采集至EAST5.0中406对公存款分户账明细记录“附言”字段</w:t>
            </w:r>
          </w:p>
        </w:tc>
      </w:tr>
      <w:tr w14:paraId="37FB3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1"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78DFC">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3306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经营分析优化</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4E8C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中国进出口银行行内报表取数优化业务需求</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D4A0">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根据分类分账系统改造现状和统计字段设置情况，为满足行内统计报送需要,对报表系统中的综合信息表、商务部报表，按需求进行系统改造</w:t>
            </w:r>
          </w:p>
        </w:tc>
      </w:tr>
      <w:tr w14:paraId="6B4E7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4B46">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F049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反洗钱优化升级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9D99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查冻扣触发评级任务规则优化</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0B0EE">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修改为以下三个触发评级任务的逻辑：（1）客户名称完全匹配（2）客户账户号码完全匹配（3）客户证件号码与客户证件类型同时完全匹配，即可在T+1日触发评级任务。</w:t>
            </w:r>
          </w:p>
        </w:tc>
      </w:tr>
      <w:tr w14:paraId="12367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0795C">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B69B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反洗钱优化升级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2F98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大额交易抓取规则优化</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084DC">
            <w:pPr>
              <w:keepNext w:val="0"/>
              <w:keepLines w:val="0"/>
              <w:widowControl/>
              <w:numPr>
                <w:ilvl w:val="-1"/>
                <w:numId w:val="0"/>
              </w:numPr>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1.部分汇出汇款、汇入汇款因报文原因，交易对手名称字段会附带地址信息，导致经营单位需要人工纠错。当前采购人“SWIFT ISO CBPR+报文升级”系统改造正在进行中，升级后交易对手名称和地址信息分别在报文不同场次。大额交易抓取交易对手名称和地址的优化需求包括：一是在报文升级改造完毕之前，需增加加工规则，如果报文中交易对手名称字段包含“ADD.”，则交易对手名称信息只截取“ADD.”之前的部分；如无，则保留现有规则。二是报文升级改造完毕之后，大额交易抓取交易对手名称和地址的路径需根据报文升级进行更新。2.交易存在资金汇入时间与入账时间不同的情况（如国外客户在非工作日汇款），对于此类情形反洗钱系统和数仓应直接抓取入账交易的交易信息作为大额交易报送数据。</w:t>
            </w:r>
          </w:p>
        </w:tc>
      </w:tr>
      <w:tr w14:paraId="78F61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A4A1A">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AB62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监管报送制度升级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7E2B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客户风险接入行内预警信息和外部数据业务需求</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9F94">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报表系统接入行内预警信息，并由各经营单位确认是否预警，从而减少漏预警情况。</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监管应用：表外业务明细表贷款承诺取数规则调整</w:t>
            </w:r>
          </w:p>
        </w:tc>
      </w:tr>
      <w:tr w14:paraId="6C403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1"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5CC27">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F781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经营分析优化</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3B1D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三档利率统计报表协同改造业务需求</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C7D5F">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根据资负部《三档利率贷款等改造功能业务需求》，协同改造华宇报表系统三类业务报表、统计基础数据变化情况表功能。</w:t>
            </w:r>
          </w:p>
        </w:tc>
      </w:tr>
      <w:tr w14:paraId="2C14E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1"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BEAD">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5DD8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监管报送制度升级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83E5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人民银行数据集中统计相关报表中修改收益类指标口径业务需求</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6EA7D">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本次新增科目涉及人行月报一批A1411报表和人行季报一批A3301报表的改造；新</w:t>
            </w:r>
          </w:p>
          <w:p w14:paraId="1C6CB0EE">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增科目涉及1104报表的改造</w:t>
            </w:r>
          </w:p>
        </w:tc>
      </w:tr>
      <w:tr w14:paraId="49F01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6AC85">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94B0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反洗钱优化升级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5BC6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反洗钱清单监测系统增加尽职调查查询和撤回功能业务需求</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57DE5">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在反洗钱清单监测系统中，清单监测经办岗发起客户尽职调查，清单监测尽职调查办理岗人员执行客户尽职调查。在尽职调查任务办理过程中，清单监测经办岗、复核岗、审定岗和管理岗等人员可以查看当前尽调任务办理状态信息。如尽职调查办理岗人员尚未提交尽调结果，发起尽职调查的经办人员可以撤回该笔尽职调查任务。</w:t>
            </w:r>
          </w:p>
        </w:tc>
      </w:tr>
      <w:tr w14:paraId="5BE4D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7298">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66A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反洗钱优化升级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9843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大额报送增加校验规则并展示</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9B1AF">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大额报送增加校验规则：1.在大额交易增录、补录、纠错界面，“交易对手名称”字段为“电子银行承兑汇票到期待转户”、“待报解预算收入”、“汇出汇款电汇户”、“待处理电子票据款项户”、“其他应付款－待分配银团联合贷款本息”、“国际结算进口业务待处理款项”、“银团贷款内部银团贷款资金暂收款”、“国际结算进口单证业务临时挂账户”、“银团受托管理类贷款放还款专用账户”、“应收固定收益产品付息兑付资金户”、“支付结算-信贷过渡户”、“贷款应付挂账户”、“代理银团贷款资金”、“国际结算出口业务待处理款项”、“汇入汇款”或“银团贷款资金”时，无法通过校验。2.在大额交易增录、补录、纠错界面，“资金收付标志”字段为“02-付款”，且“资金用途”字段为“往来款”、“结算”、“电子汇出”、“转账”、“转款”或“划款”时，无法通过校验。3.在大额交易增录、补录、纠错界面，“资金用途”字段为字符型，最大128位，长度超出范围时，无法通过校验。4.此前已添加的所有大额交易报送的相关校验规则全部保留，例如付款交易的“资金用途”字段不得为空等。5.在反洗钱系统中所有等待报送的大额交易适用上述4点校验规则，将不符合规则的交易放入待补录队列。</w:t>
            </w:r>
          </w:p>
        </w:tc>
      </w:tr>
      <w:tr w14:paraId="73465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BBC57">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367E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监管报送制度升级</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EFEE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RCPMIS优化改造业务需求</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2028D">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1.针对人民银行更新发布的接口规范和直连接入规范，对采购人RCPMIS系统进行升级优化。</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2.对于境外主体境内人民币账户的扣费、税费代缴和结息等场景可自动抓取相关跨境收付信息2101、2112、2111。</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3.对于境外主体境内人民币账户注销操作，系统自动抓取2120账户注销变更信息和2121账户余额信息。</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4.针对境外主体在采购人内部户人民币购售业务，自动抓取2102人民币购售信息。</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5.对于网络波动导致采购人RCPMIS系统报文状态错误问题，进行修复和解决。</w:t>
            </w:r>
          </w:p>
        </w:tc>
      </w:tr>
      <w:tr w14:paraId="7AB18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01538">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3F64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提高机采率</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4AC9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外汇头寸管理统计表</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1E04">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新增外汇头寸管理统计表，对报表指标进行数据机采，并处理2025年1月以来的历史报表数据，且可手工修改下限值</w:t>
            </w:r>
          </w:p>
        </w:tc>
      </w:tr>
      <w:tr w14:paraId="451EE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47A16">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C21D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提高机采率</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A204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境外项目风险监测台账线上报送</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7447D">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采购人每年由行内有关会议确定当年重点监测境外项目清单。系统上线后，总行管理部门将确定的境外项目清单导入系统并发布年度报送任务。此后，项目涉及的经营单位于每月固定时间内自主报送截至上月末的项目台账数据，直至下一年度重新确定清单。在此期间内，如新增需纳入台账的项目，由涉及的经营单位在下期报送时自行增加并报送相关项目情况。从数据仓库中获取的项目信息（如贷款余额、风险分类等）以上月末为截止时点，月内保持不变。本系统需支持一次发布、多期报送、月末数据固定、历史报送数据可查询等功能。</w:t>
            </w:r>
          </w:p>
        </w:tc>
      </w:tr>
      <w:tr w14:paraId="7DBFE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9988F">
            <w:pPr>
              <w:keepNext w:val="0"/>
              <w:keepLines w:val="0"/>
              <w:widowControl/>
              <w:numPr>
                <w:ilvl w:val="0"/>
                <w:numId w:val="4"/>
              </w:numPr>
              <w:suppressLineNumbers w:val="0"/>
              <w:tabs>
                <w:tab w:val="clear" w:pos="0"/>
              </w:tabs>
              <w:ind w:left="454" w:leftChars="0" w:hanging="454" w:firstLineChars="0"/>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1385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提高机采率</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DD9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数据应用平台数据模型导出功能支持调整导出行数</w:t>
            </w:r>
          </w:p>
        </w:tc>
        <w:tc>
          <w:tcPr>
            <w:tcW w:w="2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EBF54">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数据应用平台扩展数据模型范围，以及数据模型导出行数支持手动配置。</w:t>
            </w:r>
          </w:p>
        </w:tc>
      </w:tr>
    </w:tbl>
    <w:p w14:paraId="03BA1EB8">
      <w:pPr>
        <w:keepNext/>
        <w:keepLines/>
        <w:pageBreakBefore w:val="0"/>
        <w:widowControl w:val="0"/>
        <w:numPr>
          <w:ilvl w:val="0"/>
          <w:numId w:val="0"/>
        </w:numPr>
        <w:kinsoku/>
        <w:wordWrap/>
        <w:overflowPunct/>
        <w:topLinePunct w:val="0"/>
        <w:autoSpaceDE/>
        <w:autoSpaceDN/>
        <w:bidi w:val="0"/>
        <w:adjustRightInd w:val="0"/>
        <w:snapToGrid/>
        <w:spacing w:before="157" w:beforeLines="50" w:after="0" w:afterLines="0" w:line="560" w:lineRule="exact"/>
        <w:ind w:firstLine="480" w:firstLineChars="200"/>
        <w:jc w:val="both"/>
        <w:textAlignment w:val="baseline"/>
        <w:outlineLvl w:val="0"/>
        <w:rPr>
          <w:rFonts w:hint="eastAsia" w:ascii="仿宋_GB2312" w:hAnsi="仿宋_GB2312" w:eastAsia="仿宋_GB2312" w:cs="仿宋_GB2312"/>
          <w:b w:val="0"/>
          <w:bCs w:val="0"/>
          <w:color w:val="auto"/>
          <w:kern w:val="2"/>
          <w:sz w:val="24"/>
          <w:szCs w:val="24"/>
          <w:highlight w:val="none"/>
          <w:lang w:val="en-US" w:eastAsia="zh-CN" w:bidi="ar-SA"/>
        </w:rPr>
      </w:pPr>
      <w:bookmarkStart w:id="25" w:name="_Toc25753"/>
      <w:bookmarkStart w:id="26" w:name="_Toc28922"/>
      <w:r>
        <w:rPr>
          <w:rFonts w:hint="eastAsia" w:ascii="黑体" w:hAnsi="黑体" w:eastAsia="黑体" w:cs="黑体"/>
          <w:b w:val="0"/>
          <w:bCs w:val="0"/>
          <w:color w:val="auto"/>
          <w:kern w:val="2"/>
          <w:sz w:val="24"/>
          <w:szCs w:val="24"/>
          <w:highlight w:val="none"/>
          <w:lang w:val="en-US" w:eastAsia="zh-CN" w:bidi="ar-SA"/>
        </w:rPr>
        <w:t>四、技术要求</w:t>
      </w:r>
      <w:bookmarkEnd w:id="25"/>
      <w:bookmarkEnd w:id="26"/>
    </w:p>
    <w:p w14:paraId="3650C17F">
      <w:pPr>
        <w:keepLines w:val="0"/>
        <w:pageBreakBefore w:val="0"/>
        <w:widowControl w:val="0"/>
        <w:numPr>
          <w:ilvl w:val="0"/>
          <w:numId w:val="0"/>
        </w:numPr>
        <w:kinsoku/>
        <w:overflowPunct/>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在保持现有系统整体架构和稳定运行的基础上，对各需求进行合理架构初分，各物理子系统按照涉及需求的关联依赖情况，科学设计系统功能改造方案，确定实施计划安排，确保系统功能切分清晰，底层逻辑准确，业务流程顺畅。</w:t>
      </w:r>
    </w:p>
    <w:p w14:paraId="31C167A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需求涉及系统包括但不限于下表所列物理子系统。</w:t>
      </w:r>
    </w:p>
    <w:tbl>
      <w:tblPr>
        <w:tblStyle w:val="11"/>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472"/>
        <w:gridCol w:w="1935"/>
        <w:gridCol w:w="996"/>
        <w:gridCol w:w="1529"/>
        <w:gridCol w:w="1470"/>
        <w:gridCol w:w="2117"/>
      </w:tblGrid>
      <w:tr w14:paraId="3DFA7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60" w:hRule="atLeast"/>
          <w:tblHeader/>
        </w:trPr>
        <w:tc>
          <w:tcPr>
            <w:tcW w:w="277" w:type="pct"/>
            <w:tcBorders>
              <w:tl2br w:val="nil"/>
              <w:tr2bl w:val="nil"/>
            </w:tcBorders>
            <w:shd w:val="clear" w:color="auto" w:fill="auto"/>
            <w:vAlign w:val="center"/>
          </w:tcPr>
          <w:p w14:paraId="3BAB48B8">
            <w:pPr>
              <w:keepNext w:val="0"/>
              <w:keepLines w:val="0"/>
              <w:pageBreakBefore w:val="0"/>
              <w:widowControl/>
              <w:suppressLineNumbers w:val="0"/>
              <w:kinsoku/>
              <w:wordWrap/>
              <w:overflowPunct/>
              <w:topLinePunct w:val="0"/>
              <w:autoSpaceDE/>
              <w:autoSpaceDN/>
              <w:bidi w:val="0"/>
              <w:adjustRightInd w:val="0"/>
              <w:snapToGrid/>
              <w:ind w:left="0" w:firstLine="0"/>
              <w:jc w:val="center"/>
              <w:textAlignment w:val="center"/>
              <w:rPr>
                <w:rFonts w:hint="eastAsia" w:ascii="黑体" w:hAnsi="黑体" w:eastAsia="黑体" w:cs="黑体"/>
                <w:b w:val="0"/>
                <w:bCs w:val="0"/>
                <w:i w:val="0"/>
                <w:iCs w:val="0"/>
                <w:color w:val="auto"/>
                <w:sz w:val="24"/>
                <w:szCs w:val="24"/>
                <w:highlight w:val="none"/>
                <w:u w:val="none"/>
              </w:rPr>
            </w:pPr>
            <w:r>
              <w:rPr>
                <w:rFonts w:hint="eastAsia" w:ascii="黑体" w:hAnsi="黑体" w:eastAsia="黑体" w:cs="黑体"/>
                <w:b w:val="0"/>
                <w:bCs w:val="0"/>
                <w:i w:val="0"/>
                <w:iCs w:val="0"/>
                <w:color w:val="auto"/>
                <w:kern w:val="0"/>
                <w:sz w:val="24"/>
                <w:szCs w:val="24"/>
                <w:highlight w:val="none"/>
                <w:u w:val="none"/>
                <w:lang w:val="en-US" w:eastAsia="zh-CN" w:bidi="ar"/>
              </w:rPr>
              <w:t>序号</w:t>
            </w:r>
          </w:p>
        </w:tc>
        <w:tc>
          <w:tcPr>
            <w:tcW w:w="1135" w:type="pct"/>
            <w:tcBorders>
              <w:tl2br w:val="nil"/>
              <w:tr2bl w:val="nil"/>
            </w:tcBorders>
            <w:shd w:val="clear" w:color="auto" w:fill="auto"/>
            <w:vAlign w:val="center"/>
          </w:tcPr>
          <w:p w14:paraId="22F21922">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highlight w:val="none"/>
                <w:u w:val="none"/>
              </w:rPr>
            </w:pPr>
            <w:r>
              <w:rPr>
                <w:rFonts w:hint="eastAsia" w:ascii="黑体" w:hAnsi="黑体" w:eastAsia="黑体" w:cs="黑体"/>
                <w:b w:val="0"/>
                <w:bCs w:val="0"/>
                <w:i w:val="0"/>
                <w:iCs w:val="0"/>
                <w:color w:val="auto"/>
                <w:kern w:val="0"/>
                <w:sz w:val="24"/>
                <w:szCs w:val="24"/>
                <w:highlight w:val="none"/>
                <w:u w:val="none"/>
                <w:lang w:val="en-US" w:eastAsia="zh-CN" w:bidi="ar"/>
              </w:rPr>
              <w:t>需求简称</w:t>
            </w:r>
          </w:p>
        </w:tc>
        <w:tc>
          <w:tcPr>
            <w:tcW w:w="584" w:type="pct"/>
            <w:tcBorders>
              <w:tl2br w:val="nil"/>
              <w:tr2bl w:val="nil"/>
            </w:tcBorders>
            <w:shd w:val="clear" w:color="auto" w:fill="auto"/>
            <w:vAlign w:val="center"/>
          </w:tcPr>
          <w:p w14:paraId="5AC50823">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highlight w:val="none"/>
                <w:u w:val="none"/>
              </w:rPr>
            </w:pPr>
            <w:r>
              <w:rPr>
                <w:rFonts w:hint="eastAsia" w:ascii="黑体" w:hAnsi="黑体" w:eastAsia="黑体" w:cs="黑体"/>
                <w:b w:val="0"/>
                <w:bCs w:val="0"/>
                <w:i w:val="0"/>
                <w:iCs w:val="0"/>
                <w:color w:val="auto"/>
                <w:kern w:val="0"/>
                <w:sz w:val="24"/>
                <w:szCs w:val="24"/>
                <w:highlight w:val="none"/>
                <w:u w:val="none"/>
                <w:lang w:val="en-US" w:eastAsia="zh-CN" w:bidi="ar"/>
              </w:rPr>
              <w:t>主牵物理系统</w:t>
            </w:r>
          </w:p>
        </w:tc>
        <w:tc>
          <w:tcPr>
            <w:tcW w:w="897" w:type="pct"/>
            <w:tcBorders>
              <w:tl2br w:val="nil"/>
              <w:tr2bl w:val="nil"/>
            </w:tcBorders>
            <w:shd w:val="clear" w:color="auto" w:fill="auto"/>
            <w:vAlign w:val="center"/>
          </w:tcPr>
          <w:p w14:paraId="69E5F826">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highlight w:val="none"/>
                <w:u w:val="none"/>
              </w:rPr>
            </w:pPr>
            <w:r>
              <w:rPr>
                <w:rFonts w:hint="eastAsia" w:ascii="黑体" w:hAnsi="黑体" w:eastAsia="黑体" w:cs="黑体"/>
                <w:b w:val="0"/>
                <w:bCs w:val="0"/>
                <w:i w:val="0"/>
                <w:iCs w:val="0"/>
                <w:color w:val="auto"/>
                <w:kern w:val="0"/>
                <w:sz w:val="24"/>
                <w:szCs w:val="24"/>
                <w:highlight w:val="none"/>
                <w:u w:val="none"/>
                <w:lang w:val="en-US" w:eastAsia="zh-CN" w:bidi="ar"/>
              </w:rPr>
              <w:t>配合改造物理系统</w:t>
            </w:r>
          </w:p>
        </w:tc>
        <w:tc>
          <w:tcPr>
            <w:tcW w:w="862" w:type="pct"/>
            <w:tcBorders>
              <w:tl2br w:val="nil"/>
              <w:tr2bl w:val="nil"/>
            </w:tcBorders>
            <w:shd w:val="clear" w:color="auto" w:fill="auto"/>
            <w:vAlign w:val="center"/>
          </w:tcPr>
          <w:p w14:paraId="2474031F">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highlight w:val="none"/>
                <w:u w:val="none"/>
              </w:rPr>
            </w:pPr>
            <w:r>
              <w:rPr>
                <w:rFonts w:hint="eastAsia" w:ascii="黑体" w:hAnsi="黑体" w:eastAsia="黑体" w:cs="黑体"/>
                <w:b w:val="0"/>
                <w:bCs w:val="0"/>
                <w:i w:val="0"/>
                <w:iCs w:val="0"/>
                <w:color w:val="auto"/>
                <w:kern w:val="0"/>
                <w:sz w:val="24"/>
                <w:szCs w:val="24"/>
                <w:highlight w:val="none"/>
                <w:u w:val="none"/>
                <w:lang w:val="en-US" w:eastAsia="zh-CN" w:bidi="ar"/>
              </w:rPr>
              <w:t>仅配合配置物理系统</w:t>
            </w:r>
          </w:p>
        </w:tc>
        <w:tc>
          <w:tcPr>
            <w:tcW w:w="1242" w:type="pct"/>
            <w:tcBorders>
              <w:tl2br w:val="nil"/>
              <w:tr2bl w:val="nil"/>
            </w:tcBorders>
            <w:shd w:val="clear" w:color="auto" w:fill="auto"/>
            <w:vAlign w:val="center"/>
          </w:tcPr>
          <w:p w14:paraId="4B5AF8B1">
            <w:pPr>
              <w:keepNext w:val="0"/>
              <w:keepLines w:val="0"/>
              <w:widowControl/>
              <w:suppressLineNumbers w:val="0"/>
              <w:jc w:val="center"/>
              <w:textAlignment w:val="center"/>
              <w:rPr>
                <w:rFonts w:hint="eastAsia" w:ascii="黑体" w:hAnsi="黑体" w:eastAsia="黑体" w:cs="黑体"/>
                <w:b w:val="0"/>
                <w:bCs w:val="0"/>
                <w:i w:val="0"/>
                <w:iCs w:val="0"/>
                <w:color w:val="auto"/>
                <w:sz w:val="24"/>
                <w:szCs w:val="24"/>
                <w:highlight w:val="none"/>
                <w:u w:val="none"/>
              </w:rPr>
            </w:pPr>
            <w:r>
              <w:rPr>
                <w:rFonts w:hint="eastAsia" w:ascii="黑体" w:hAnsi="黑体" w:eastAsia="黑体" w:cs="黑体"/>
                <w:b w:val="0"/>
                <w:bCs w:val="0"/>
                <w:i w:val="0"/>
                <w:iCs w:val="0"/>
                <w:color w:val="auto"/>
                <w:kern w:val="0"/>
                <w:sz w:val="24"/>
                <w:szCs w:val="24"/>
                <w:highlight w:val="none"/>
                <w:u w:val="none"/>
                <w:lang w:val="en-US" w:eastAsia="zh-CN" w:bidi="ar"/>
              </w:rPr>
              <w:t>仅配合测试物理系统</w:t>
            </w:r>
          </w:p>
        </w:tc>
      </w:tr>
      <w:tr w14:paraId="2A12C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6D70E00C">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135" w:type="pct"/>
            <w:tcBorders>
              <w:tl2br w:val="nil"/>
              <w:tr2bl w:val="nil"/>
            </w:tcBorders>
            <w:shd w:val="clear" w:color="auto" w:fill="auto"/>
            <w:vAlign w:val="center"/>
          </w:tcPr>
          <w:p w14:paraId="2618FB29">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增加金融机构客户合作情况统计表</w:t>
            </w:r>
          </w:p>
        </w:tc>
        <w:tc>
          <w:tcPr>
            <w:tcW w:w="584" w:type="pct"/>
            <w:tcBorders>
              <w:tl2br w:val="nil"/>
              <w:tr2bl w:val="nil"/>
            </w:tcBorders>
            <w:shd w:val="clear" w:color="auto" w:fill="auto"/>
            <w:vAlign w:val="center"/>
          </w:tcPr>
          <w:p w14:paraId="4291145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0D623D5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721194A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4BE2D151">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机构信息和用户管理系统</w:t>
            </w:r>
          </w:p>
        </w:tc>
      </w:tr>
      <w:tr w14:paraId="095E9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15027819">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135" w:type="pct"/>
            <w:tcBorders>
              <w:tl2br w:val="nil"/>
              <w:tr2bl w:val="nil"/>
            </w:tcBorders>
            <w:shd w:val="clear" w:color="auto" w:fill="auto"/>
            <w:vAlign w:val="center"/>
          </w:tcPr>
          <w:p w14:paraId="7ACD42A6">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新增内部评级运行情况信息。</w:t>
            </w:r>
          </w:p>
        </w:tc>
        <w:tc>
          <w:tcPr>
            <w:tcW w:w="584" w:type="pct"/>
            <w:tcBorders>
              <w:tl2br w:val="nil"/>
              <w:tr2bl w:val="nil"/>
            </w:tcBorders>
            <w:shd w:val="clear" w:color="auto" w:fill="auto"/>
            <w:vAlign w:val="center"/>
          </w:tcPr>
          <w:p w14:paraId="5D7DB92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2E939A0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2029BB6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0E93ABC6">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机构信息和用户管理系统</w:t>
            </w:r>
          </w:p>
        </w:tc>
      </w:tr>
      <w:tr w14:paraId="79B99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522AB9E0">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135" w:type="pct"/>
            <w:tcBorders>
              <w:tl2br w:val="nil"/>
              <w:tr2bl w:val="nil"/>
            </w:tcBorders>
            <w:shd w:val="clear" w:color="auto" w:fill="auto"/>
            <w:vAlign w:val="center"/>
          </w:tcPr>
          <w:p w14:paraId="3B1F6B0D">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反洗钱清单监测系统优化需求（2024新需求)-反洗钱清单监测系统预警任务自动分发和导出功能需求</w:t>
            </w:r>
          </w:p>
        </w:tc>
        <w:tc>
          <w:tcPr>
            <w:tcW w:w="584" w:type="pct"/>
            <w:tcBorders>
              <w:tl2br w:val="nil"/>
              <w:tr2bl w:val="nil"/>
            </w:tcBorders>
            <w:shd w:val="clear" w:color="auto" w:fill="auto"/>
            <w:vAlign w:val="center"/>
          </w:tcPr>
          <w:p w14:paraId="0C21F6A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050CD56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044B007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员工渠道整合平台，P2-企业内部管理领域</w:t>
            </w:r>
          </w:p>
        </w:tc>
        <w:tc>
          <w:tcPr>
            <w:tcW w:w="1242" w:type="pct"/>
            <w:tcBorders>
              <w:tl2br w:val="nil"/>
              <w:tr2bl w:val="nil"/>
            </w:tcBorders>
            <w:shd w:val="clear" w:color="auto" w:fill="auto"/>
            <w:vAlign w:val="center"/>
          </w:tcPr>
          <w:p w14:paraId="71F34F9F">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支付结算-国际结算组件，汇路外币，SWIFT报文服务平台</w:t>
            </w:r>
          </w:p>
        </w:tc>
      </w:tr>
      <w:tr w14:paraId="78F37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6DDAE46A">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rPr>
            </w:pPr>
          </w:p>
        </w:tc>
        <w:tc>
          <w:tcPr>
            <w:tcW w:w="1135" w:type="pct"/>
            <w:tcBorders>
              <w:tl2br w:val="nil"/>
              <w:tr2bl w:val="nil"/>
            </w:tcBorders>
            <w:shd w:val="clear" w:color="auto" w:fill="auto"/>
            <w:vAlign w:val="center"/>
          </w:tcPr>
          <w:p w14:paraId="1D39E3EE">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反洗钱模块中洗钱风险评级任务增加到期提醒</w:t>
            </w:r>
          </w:p>
        </w:tc>
        <w:tc>
          <w:tcPr>
            <w:tcW w:w="584" w:type="pct"/>
            <w:tcBorders>
              <w:tl2br w:val="nil"/>
              <w:tr2bl w:val="nil"/>
            </w:tcBorders>
            <w:shd w:val="clear" w:color="auto" w:fill="auto"/>
            <w:vAlign w:val="center"/>
          </w:tcPr>
          <w:p w14:paraId="1A046E8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65E370A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2478971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加密服务，P2-企业内部管理领域</w:t>
            </w:r>
          </w:p>
        </w:tc>
        <w:tc>
          <w:tcPr>
            <w:tcW w:w="1242" w:type="pct"/>
            <w:tcBorders>
              <w:tl2br w:val="nil"/>
              <w:tr2bl w:val="nil"/>
            </w:tcBorders>
            <w:shd w:val="clear" w:color="auto" w:fill="auto"/>
            <w:vAlign w:val="center"/>
          </w:tcPr>
          <w:p w14:paraId="6511B94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r>
      <w:tr w14:paraId="07405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50154DFE">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135" w:type="pct"/>
            <w:tcBorders>
              <w:tl2br w:val="nil"/>
              <w:tr2bl w:val="nil"/>
            </w:tcBorders>
            <w:shd w:val="clear" w:color="auto" w:fill="auto"/>
            <w:vAlign w:val="center"/>
          </w:tcPr>
          <w:p w14:paraId="297DE184">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调整由查冻扣触发的洗钱风险评级任务的触发周期</w:t>
            </w:r>
          </w:p>
        </w:tc>
        <w:tc>
          <w:tcPr>
            <w:tcW w:w="584" w:type="pct"/>
            <w:tcBorders>
              <w:tl2br w:val="nil"/>
              <w:tr2bl w:val="nil"/>
            </w:tcBorders>
            <w:shd w:val="clear" w:color="auto" w:fill="auto"/>
            <w:vAlign w:val="center"/>
          </w:tcPr>
          <w:p w14:paraId="2023665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4466621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6B92D50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4CFBD457">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查冻扣系统</w:t>
            </w:r>
          </w:p>
        </w:tc>
      </w:tr>
      <w:tr w14:paraId="0266B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8" w:hRule="atLeast"/>
        </w:trPr>
        <w:tc>
          <w:tcPr>
            <w:tcW w:w="277" w:type="pct"/>
            <w:tcBorders>
              <w:tl2br w:val="nil"/>
              <w:tr2bl w:val="nil"/>
            </w:tcBorders>
            <w:shd w:val="clear" w:color="auto" w:fill="auto"/>
            <w:vAlign w:val="center"/>
          </w:tcPr>
          <w:p w14:paraId="0776DD65">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135" w:type="pct"/>
            <w:tcBorders>
              <w:tl2br w:val="nil"/>
              <w:tr2bl w:val="nil"/>
            </w:tcBorders>
            <w:shd w:val="clear" w:color="auto" w:fill="auto"/>
            <w:vAlign w:val="center"/>
          </w:tcPr>
          <w:p w14:paraId="39C871BB">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保理公司纳入征信报送范围</w:t>
            </w:r>
          </w:p>
        </w:tc>
        <w:tc>
          <w:tcPr>
            <w:tcW w:w="584" w:type="pct"/>
            <w:tcBorders>
              <w:tl2br w:val="nil"/>
              <w:tr2bl w:val="nil"/>
            </w:tcBorders>
            <w:shd w:val="clear" w:color="auto" w:fill="auto"/>
            <w:vAlign w:val="center"/>
          </w:tcPr>
          <w:p w14:paraId="5F851FC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6F84B33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2014FEB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7AE9B6FE">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贷款</w:t>
            </w:r>
          </w:p>
        </w:tc>
      </w:tr>
      <w:tr w14:paraId="581ED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1" w:hRule="atLeast"/>
        </w:trPr>
        <w:tc>
          <w:tcPr>
            <w:tcW w:w="277" w:type="pct"/>
            <w:tcBorders>
              <w:tl2br w:val="nil"/>
              <w:tr2bl w:val="nil"/>
            </w:tcBorders>
            <w:shd w:val="clear" w:color="auto" w:fill="auto"/>
            <w:vAlign w:val="center"/>
          </w:tcPr>
          <w:p w14:paraId="3218D4FF">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rPr>
            </w:pPr>
          </w:p>
        </w:tc>
        <w:tc>
          <w:tcPr>
            <w:tcW w:w="1135" w:type="pct"/>
            <w:tcBorders>
              <w:tl2br w:val="nil"/>
              <w:tr2bl w:val="nil"/>
            </w:tcBorders>
            <w:shd w:val="clear" w:color="auto" w:fill="auto"/>
            <w:vAlign w:val="center"/>
          </w:tcPr>
          <w:p w14:paraId="2C0F7350">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财会部EAST5.0账户状态和交易渠道字段取数规则优化需求</w:t>
            </w:r>
          </w:p>
        </w:tc>
        <w:tc>
          <w:tcPr>
            <w:tcW w:w="584" w:type="pct"/>
            <w:tcBorders>
              <w:tl2br w:val="nil"/>
              <w:tr2bl w:val="nil"/>
            </w:tcBorders>
            <w:shd w:val="clear" w:color="auto" w:fill="auto"/>
            <w:vAlign w:val="center"/>
          </w:tcPr>
          <w:p w14:paraId="6F97AC9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2B70E76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485B5C3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3FFB7D80">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贷款、存款、财务会计-中收计量内部帐</w:t>
            </w:r>
          </w:p>
        </w:tc>
      </w:tr>
      <w:tr w14:paraId="16E8E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4B320FBC">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rPr>
            </w:pPr>
          </w:p>
        </w:tc>
        <w:tc>
          <w:tcPr>
            <w:tcW w:w="1135" w:type="pct"/>
            <w:tcBorders>
              <w:tl2br w:val="nil"/>
              <w:tr2bl w:val="nil"/>
            </w:tcBorders>
            <w:shd w:val="clear" w:color="auto" w:fill="auto"/>
            <w:vAlign w:val="center"/>
          </w:tcPr>
          <w:p w14:paraId="4DE1864B">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【SX007-EAST迎检】四川EAST财会类报表取数规则完善需求</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四川分行当前EAST 406《对公存款分户账明细记录》特定场景下附言取数为空，需调整EAST《对公存款分户账明细记录》附言取数逻辑。</w:t>
            </w:r>
          </w:p>
        </w:tc>
        <w:tc>
          <w:tcPr>
            <w:tcW w:w="584" w:type="pct"/>
            <w:tcBorders>
              <w:tl2br w:val="nil"/>
              <w:tr2bl w:val="nil"/>
            </w:tcBorders>
            <w:shd w:val="clear" w:color="auto" w:fill="auto"/>
            <w:vAlign w:val="center"/>
          </w:tcPr>
          <w:p w14:paraId="561E98B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04FF89B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2973DC6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335ECBE2">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存款，外币支付、客户结算</w:t>
            </w:r>
          </w:p>
        </w:tc>
      </w:tr>
      <w:tr w14:paraId="0D8FE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7946E9DA">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rPr>
            </w:pPr>
          </w:p>
        </w:tc>
        <w:tc>
          <w:tcPr>
            <w:tcW w:w="1135" w:type="pct"/>
            <w:tcBorders>
              <w:tl2br w:val="nil"/>
              <w:tr2bl w:val="nil"/>
            </w:tcBorders>
            <w:shd w:val="clear" w:color="auto" w:fill="auto"/>
            <w:vAlign w:val="center"/>
          </w:tcPr>
          <w:p w14:paraId="2152BA6A">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中国进出口银行行内报表取数优化业务需求</w:t>
            </w:r>
          </w:p>
        </w:tc>
        <w:tc>
          <w:tcPr>
            <w:tcW w:w="584" w:type="pct"/>
            <w:tcBorders>
              <w:tl2br w:val="nil"/>
              <w:tr2bl w:val="nil"/>
            </w:tcBorders>
            <w:shd w:val="clear" w:color="auto" w:fill="auto"/>
            <w:vAlign w:val="center"/>
          </w:tcPr>
          <w:p w14:paraId="70A18BA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53AFC82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716C84E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5452A37F">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定价管理-定价模型-OLAP</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领域：客户信息管理</w:t>
            </w:r>
          </w:p>
        </w:tc>
      </w:tr>
      <w:tr w14:paraId="3D815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0C42CCE2">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rPr>
            </w:pPr>
          </w:p>
        </w:tc>
        <w:tc>
          <w:tcPr>
            <w:tcW w:w="1135" w:type="pct"/>
            <w:tcBorders>
              <w:tl2br w:val="nil"/>
              <w:tr2bl w:val="nil"/>
            </w:tcBorders>
            <w:shd w:val="clear" w:color="auto" w:fill="auto"/>
            <w:vAlign w:val="center"/>
          </w:tcPr>
          <w:p w14:paraId="58E36F84">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查冻扣触发评级任务规则优化</w:t>
            </w:r>
          </w:p>
        </w:tc>
        <w:tc>
          <w:tcPr>
            <w:tcW w:w="584" w:type="pct"/>
            <w:tcBorders>
              <w:tl2br w:val="nil"/>
              <w:tr2bl w:val="nil"/>
            </w:tcBorders>
            <w:shd w:val="clear" w:color="auto" w:fill="auto"/>
            <w:vAlign w:val="center"/>
          </w:tcPr>
          <w:p w14:paraId="5E75536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01B80B7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744DF91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71A3D2C6">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存款，查冻扣系统</w:t>
            </w:r>
          </w:p>
        </w:tc>
      </w:tr>
      <w:tr w14:paraId="323A1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277" w:type="pct"/>
            <w:tcBorders>
              <w:tl2br w:val="nil"/>
              <w:tr2bl w:val="nil"/>
            </w:tcBorders>
            <w:shd w:val="clear" w:color="auto" w:fill="auto"/>
            <w:vAlign w:val="center"/>
          </w:tcPr>
          <w:p w14:paraId="715D998E">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rPr>
            </w:pPr>
          </w:p>
        </w:tc>
        <w:tc>
          <w:tcPr>
            <w:tcW w:w="1135" w:type="pct"/>
            <w:tcBorders>
              <w:tl2br w:val="nil"/>
              <w:tr2bl w:val="nil"/>
            </w:tcBorders>
            <w:shd w:val="clear" w:color="auto" w:fill="auto"/>
            <w:vAlign w:val="center"/>
          </w:tcPr>
          <w:p w14:paraId="38DC3F25">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大额交易抓取规则优化</w:t>
            </w:r>
          </w:p>
        </w:tc>
        <w:tc>
          <w:tcPr>
            <w:tcW w:w="584" w:type="pct"/>
            <w:tcBorders>
              <w:tl2br w:val="nil"/>
              <w:tr2bl w:val="nil"/>
            </w:tcBorders>
            <w:shd w:val="clear" w:color="auto" w:fill="auto"/>
            <w:vAlign w:val="center"/>
          </w:tcPr>
          <w:p w14:paraId="023B25F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0259D6A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213E2F8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2F4E91B2">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存款，客户结算，外币支付，支付结算组件-支付，支付结算-国际结算组件</w:t>
            </w:r>
          </w:p>
        </w:tc>
      </w:tr>
      <w:tr w14:paraId="2F84D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203F4508">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rPr>
            </w:pPr>
          </w:p>
        </w:tc>
        <w:tc>
          <w:tcPr>
            <w:tcW w:w="1135" w:type="pct"/>
            <w:tcBorders>
              <w:tl2br w:val="nil"/>
              <w:tr2bl w:val="nil"/>
            </w:tcBorders>
            <w:shd w:val="clear" w:color="auto" w:fill="auto"/>
            <w:vAlign w:val="center"/>
          </w:tcPr>
          <w:p w14:paraId="18C448D3">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客户风险接入行内预警信息和外部数据业务需求</w:t>
            </w:r>
          </w:p>
        </w:tc>
        <w:tc>
          <w:tcPr>
            <w:tcW w:w="584" w:type="pct"/>
            <w:tcBorders>
              <w:tl2br w:val="nil"/>
              <w:tr2bl w:val="nil"/>
            </w:tcBorders>
            <w:shd w:val="clear" w:color="auto" w:fill="auto"/>
            <w:vAlign w:val="center"/>
          </w:tcPr>
          <w:p w14:paraId="5030AE5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732E99A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集团全面风险监控预警平台</w:t>
            </w:r>
          </w:p>
        </w:tc>
        <w:tc>
          <w:tcPr>
            <w:tcW w:w="862" w:type="pct"/>
            <w:tcBorders>
              <w:tl2br w:val="nil"/>
              <w:tr2bl w:val="nil"/>
            </w:tcBorders>
            <w:shd w:val="clear" w:color="auto" w:fill="auto"/>
            <w:vAlign w:val="center"/>
          </w:tcPr>
          <w:p w14:paraId="3B5A919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6E5C6F3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r>
      <w:tr w14:paraId="4A0B6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022F9474">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sz w:val="24"/>
                <w:szCs w:val="24"/>
                <w:highlight w:val="none"/>
                <w:u w:val="none"/>
                <w:lang w:val="en-US"/>
              </w:rPr>
            </w:pPr>
          </w:p>
        </w:tc>
        <w:tc>
          <w:tcPr>
            <w:tcW w:w="1135" w:type="pct"/>
            <w:tcBorders>
              <w:tl2br w:val="nil"/>
              <w:tr2bl w:val="nil"/>
            </w:tcBorders>
            <w:shd w:val="clear" w:color="auto" w:fill="auto"/>
            <w:vAlign w:val="center"/>
          </w:tcPr>
          <w:p w14:paraId="707CC73C">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三档利率统计报表协同改造业务需求</w:t>
            </w:r>
          </w:p>
        </w:tc>
        <w:tc>
          <w:tcPr>
            <w:tcW w:w="584" w:type="pct"/>
            <w:tcBorders>
              <w:tl2br w:val="nil"/>
              <w:tr2bl w:val="nil"/>
            </w:tcBorders>
            <w:shd w:val="clear" w:color="auto" w:fill="auto"/>
            <w:vAlign w:val="center"/>
          </w:tcPr>
          <w:p w14:paraId="70222F8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1681871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743D6E5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6B87BFFF">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bidi="ar"/>
              </w:rPr>
            </w:pPr>
            <w:r>
              <w:rPr>
                <w:rFonts w:hint="eastAsia" w:ascii="仿宋_GB2312" w:hAnsi="仿宋_GB2312" w:eastAsia="仿宋_GB2312" w:cs="仿宋_GB2312"/>
                <w:i w:val="0"/>
                <w:iCs w:val="0"/>
                <w:color w:val="auto"/>
                <w:kern w:val="0"/>
                <w:sz w:val="24"/>
                <w:szCs w:val="24"/>
                <w:highlight w:val="none"/>
                <w:u w:val="none"/>
                <w:lang w:val="en-US" w:eastAsia="zh-CN" w:bidi="ar"/>
              </w:rPr>
              <w:t>定价管理-定价模型-OLAP、</w:t>
            </w:r>
          </w:p>
        </w:tc>
      </w:tr>
      <w:tr w14:paraId="45F74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5E47F5B6">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1135" w:type="pct"/>
            <w:tcBorders>
              <w:tl2br w:val="nil"/>
              <w:tr2bl w:val="nil"/>
            </w:tcBorders>
            <w:shd w:val="clear" w:color="auto" w:fill="auto"/>
            <w:vAlign w:val="center"/>
          </w:tcPr>
          <w:p w14:paraId="1F4D458F">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人民银行数据集中统计相关报表中修改收益类指标口径业务需求</w:t>
            </w:r>
          </w:p>
        </w:tc>
        <w:tc>
          <w:tcPr>
            <w:tcW w:w="584" w:type="pct"/>
            <w:tcBorders>
              <w:tl2br w:val="nil"/>
              <w:tr2bl w:val="nil"/>
            </w:tcBorders>
            <w:shd w:val="clear" w:color="auto" w:fill="auto"/>
            <w:vAlign w:val="center"/>
          </w:tcPr>
          <w:p w14:paraId="3D3417A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333E3ED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2BCA70D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57AF05EB">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财务会计-非引擎、财务会计-会计引擎</w:t>
            </w:r>
          </w:p>
        </w:tc>
      </w:tr>
      <w:tr w14:paraId="78466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57AC184D">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1135" w:type="pct"/>
            <w:tcBorders>
              <w:tl2br w:val="nil"/>
              <w:tr2bl w:val="nil"/>
            </w:tcBorders>
            <w:shd w:val="clear" w:color="auto" w:fill="auto"/>
            <w:vAlign w:val="center"/>
          </w:tcPr>
          <w:p w14:paraId="79F8B1BE">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反洗钱清单监测系统增加尽职调查查询和撤回功能业务需求</w:t>
            </w:r>
          </w:p>
        </w:tc>
        <w:tc>
          <w:tcPr>
            <w:tcW w:w="584" w:type="pct"/>
            <w:tcBorders>
              <w:tl2br w:val="nil"/>
              <w:tr2bl w:val="nil"/>
            </w:tcBorders>
            <w:shd w:val="clear" w:color="auto" w:fill="auto"/>
            <w:vAlign w:val="center"/>
          </w:tcPr>
          <w:p w14:paraId="4062865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759256C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P2-企业内部管理领域</w:t>
            </w:r>
          </w:p>
        </w:tc>
        <w:tc>
          <w:tcPr>
            <w:tcW w:w="862" w:type="pct"/>
            <w:tcBorders>
              <w:tl2br w:val="nil"/>
              <w:tr2bl w:val="nil"/>
            </w:tcBorders>
            <w:shd w:val="clear" w:color="auto" w:fill="auto"/>
            <w:vAlign w:val="center"/>
          </w:tcPr>
          <w:p w14:paraId="28D6178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员工渠道整合平台</w:t>
            </w:r>
          </w:p>
        </w:tc>
        <w:tc>
          <w:tcPr>
            <w:tcW w:w="1242" w:type="pct"/>
            <w:tcBorders>
              <w:tl2br w:val="nil"/>
              <w:tr2bl w:val="nil"/>
            </w:tcBorders>
            <w:shd w:val="clear" w:color="auto" w:fill="auto"/>
            <w:vAlign w:val="center"/>
          </w:tcPr>
          <w:p w14:paraId="6E8030F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r>
      <w:tr w14:paraId="016E1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16588129">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1135" w:type="pct"/>
            <w:tcBorders>
              <w:tl2br w:val="nil"/>
              <w:tr2bl w:val="nil"/>
            </w:tcBorders>
            <w:shd w:val="clear" w:color="auto" w:fill="auto"/>
            <w:vAlign w:val="center"/>
          </w:tcPr>
          <w:p w14:paraId="6A2DCA56">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大额报送增加校验规则并展示</w:t>
            </w:r>
          </w:p>
        </w:tc>
        <w:tc>
          <w:tcPr>
            <w:tcW w:w="584" w:type="pct"/>
            <w:tcBorders>
              <w:tl2br w:val="nil"/>
              <w:tr2bl w:val="nil"/>
            </w:tcBorders>
            <w:shd w:val="clear" w:color="auto" w:fill="auto"/>
            <w:vAlign w:val="center"/>
          </w:tcPr>
          <w:p w14:paraId="038972C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355A68B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P2-企业内部管理领域</w:t>
            </w:r>
          </w:p>
        </w:tc>
        <w:tc>
          <w:tcPr>
            <w:tcW w:w="862" w:type="pct"/>
            <w:tcBorders>
              <w:tl2br w:val="nil"/>
              <w:tr2bl w:val="nil"/>
            </w:tcBorders>
            <w:shd w:val="clear" w:color="auto" w:fill="auto"/>
            <w:vAlign w:val="center"/>
          </w:tcPr>
          <w:p w14:paraId="28DAF03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76474BB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r>
      <w:tr w14:paraId="3C442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4E602DFB">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1135" w:type="pct"/>
            <w:tcBorders>
              <w:tl2br w:val="nil"/>
              <w:tr2bl w:val="nil"/>
            </w:tcBorders>
            <w:shd w:val="clear" w:color="auto" w:fill="auto"/>
            <w:vAlign w:val="center"/>
          </w:tcPr>
          <w:p w14:paraId="1393D73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RCPMIS优化改造业务需求</w:t>
            </w:r>
          </w:p>
        </w:tc>
        <w:tc>
          <w:tcPr>
            <w:tcW w:w="584" w:type="pct"/>
            <w:tcBorders>
              <w:tl2br w:val="nil"/>
              <w:tr2bl w:val="nil"/>
            </w:tcBorders>
            <w:shd w:val="clear" w:color="auto" w:fill="auto"/>
            <w:vAlign w:val="center"/>
          </w:tcPr>
          <w:p w14:paraId="4E766BB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578C4C9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67A25F4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6063070B">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存款，对客资金交易，金融市场投资组合与资金交易定报价平台</w:t>
            </w:r>
          </w:p>
        </w:tc>
      </w:tr>
      <w:tr w14:paraId="6A659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00252F06">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1135" w:type="pct"/>
            <w:tcBorders>
              <w:tl2br w:val="nil"/>
              <w:tr2bl w:val="nil"/>
            </w:tcBorders>
            <w:shd w:val="clear" w:color="auto" w:fill="auto"/>
            <w:vAlign w:val="center"/>
          </w:tcPr>
          <w:p w14:paraId="683A017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外汇头寸管理统计表</w:t>
            </w:r>
          </w:p>
        </w:tc>
        <w:tc>
          <w:tcPr>
            <w:tcW w:w="584" w:type="pct"/>
            <w:tcBorders>
              <w:tl2br w:val="nil"/>
              <w:tr2bl w:val="nil"/>
            </w:tcBorders>
            <w:shd w:val="clear" w:color="auto" w:fill="auto"/>
            <w:vAlign w:val="center"/>
          </w:tcPr>
          <w:p w14:paraId="2301903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1DB5790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00A2A74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47F2E301">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定价管理-定价模型-OLAP</w:t>
            </w:r>
          </w:p>
        </w:tc>
      </w:tr>
      <w:tr w14:paraId="3BD0E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7A3C34C7">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1135" w:type="pct"/>
            <w:tcBorders>
              <w:tl2br w:val="nil"/>
              <w:tr2bl w:val="nil"/>
            </w:tcBorders>
            <w:shd w:val="clear" w:color="auto" w:fill="auto"/>
            <w:vAlign w:val="center"/>
          </w:tcPr>
          <w:p w14:paraId="17FA6C3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境外项目风险监测台账线上报送</w:t>
            </w:r>
          </w:p>
        </w:tc>
        <w:tc>
          <w:tcPr>
            <w:tcW w:w="584" w:type="pct"/>
            <w:tcBorders>
              <w:tl2br w:val="nil"/>
              <w:tr2bl w:val="nil"/>
            </w:tcBorders>
            <w:shd w:val="clear" w:color="auto" w:fill="auto"/>
            <w:vAlign w:val="center"/>
          </w:tcPr>
          <w:p w14:paraId="4E9D155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2D794F9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1A0E3D6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7453EDCE">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国别风险管理系统、贷款损失准备金管理</w:t>
            </w:r>
          </w:p>
        </w:tc>
      </w:tr>
      <w:tr w14:paraId="5AAEB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277" w:type="pct"/>
            <w:tcBorders>
              <w:tl2br w:val="nil"/>
              <w:tr2bl w:val="nil"/>
            </w:tcBorders>
            <w:shd w:val="clear" w:color="auto" w:fill="auto"/>
            <w:vAlign w:val="center"/>
          </w:tcPr>
          <w:p w14:paraId="0F425A8C">
            <w:pPr>
              <w:keepNext w:val="0"/>
              <w:keepLines w:val="0"/>
              <w:pageBreakBefore w:val="0"/>
              <w:widowControl/>
              <w:numPr>
                <w:ilvl w:val="0"/>
                <w:numId w:val="5"/>
              </w:numPr>
              <w:suppressLineNumbers w:val="0"/>
              <w:kinsoku/>
              <w:wordWrap/>
              <w:overflowPunct/>
              <w:topLinePunct w:val="0"/>
              <w:autoSpaceDE/>
              <w:autoSpaceDN/>
              <w:bidi w:val="0"/>
              <w:adjustRightInd w:val="0"/>
              <w:snapToGrid/>
              <w:ind w:left="0" w:lef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1135" w:type="pct"/>
            <w:tcBorders>
              <w:tl2br w:val="nil"/>
              <w:tr2bl w:val="nil"/>
            </w:tcBorders>
            <w:shd w:val="clear" w:color="auto" w:fill="auto"/>
            <w:vAlign w:val="center"/>
          </w:tcPr>
          <w:p w14:paraId="07801B82">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数据应用平台数据模型导出功能支持调整导出行数</w:t>
            </w:r>
          </w:p>
        </w:tc>
        <w:tc>
          <w:tcPr>
            <w:tcW w:w="584" w:type="pct"/>
            <w:tcBorders>
              <w:tl2br w:val="nil"/>
              <w:tr2bl w:val="nil"/>
            </w:tcBorders>
            <w:shd w:val="clear" w:color="auto" w:fill="auto"/>
            <w:vAlign w:val="center"/>
          </w:tcPr>
          <w:p w14:paraId="01B1A83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97" w:type="pct"/>
            <w:tcBorders>
              <w:tl2br w:val="nil"/>
              <w:tr2bl w:val="nil"/>
            </w:tcBorders>
            <w:shd w:val="clear" w:color="auto" w:fill="auto"/>
            <w:vAlign w:val="center"/>
          </w:tcPr>
          <w:p w14:paraId="6FCAE6B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862" w:type="pct"/>
            <w:tcBorders>
              <w:tl2br w:val="nil"/>
              <w:tr2bl w:val="nil"/>
            </w:tcBorders>
            <w:shd w:val="clear" w:color="auto" w:fill="auto"/>
            <w:vAlign w:val="center"/>
          </w:tcPr>
          <w:p w14:paraId="3FA15DE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无</w:t>
            </w:r>
          </w:p>
        </w:tc>
        <w:tc>
          <w:tcPr>
            <w:tcW w:w="1242" w:type="pct"/>
            <w:tcBorders>
              <w:tl2br w:val="nil"/>
              <w:tr2bl w:val="nil"/>
            </w:tcBorders>
            <w:shd w:val="clear" w:color="auto" w:fill="auto"/>
            <w:vAlign w:val="center"/>
          </w:tcPr>
          <w:p w14:paraId="6FC8152B">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查冻扣系统， 支付结算组件-支付</w:t>
            </w:r>
          </w:p>
        </w:tc>
      </w:tr>
    </w:tbl>
    <w:p w14:paraId="595C0B02">
      <w:pPr>
        <w:keepNext/>
        <w:keepLines/>
        <w:pageBreakBefore w:val="0"/>
        <w:widowControl w:val="0"/>
        <w:kinsoku/>
        <w:wordWrap/>
        <w:overflowPunct/>
        <w:topLinePunct w:val="0"/>
        <w:autoSpaceDE/>
        <w:autoSpaceDN/>
        <w:bidi w:val="0"/>
        <w:adjustRightInd w:val="0"/>
        <w:snapToGrid/>
        <w:spacing w:before="157" w:beforeLines="50" w:after="0" w:afterLines="0" w:line="560" w:lineRule="exact"/>
        <w:ind w:firstLine="480" w:firstLineChars="200"/>
        <w:jc w:val="both"/>
        <w:textAlignment w:val="baseline"/>
        <w:outlineLvl w:val="0"/>
        <w:rPr>
          <w:rFonts w:hint="eastAsia" w:ascii="仿宋_GB2312" w:hAnsi="仿宋_GB2312" w:eastAsia="仿宋_GB2312" w:cs="仿宋_GB2312"/>
          <w:b w:val="0"/>
          <w:bCs w:val="0"/>
          <w:color w:val="auto"/>
          <w:kern w:val="2"/>
          <w:sz w:val="24"/>
          <w:szCs w:val="24"/>
          <w:highlight w:val="none"/>
          <w:lang w:val="en-US" w:eastAsia="zh-CN" w:bidi="ar-SA"/>
        </w:rPr>
      </w:pPr>
      <w:bookmarkStart w:id="27" w:name="_Toc27084"/>
      <w:bookmarkStart w:id="28" w:name="_Toc23030"/>
      <w:r>
        <w:rPr>
          <w:rFonts w:hint="eastAsia" w:ascii="黑体" w:hAnsi="黑体" w:eastAsia="黑体" w:cs="黑体"/>
          <w:b w:val="0"/>
          <w:bCs w:val="0"/>
          <w:color w:val="auto"/>
          <w:kern w:val="2"/>
          <w:sz w:val="24"/>
          <w:szCs w:val="24"/>
          <w:highlight w:val="none"/>
          <w:lang w:val="en-US" w:eastAsia="zh-CN" w:bidi="ar-SA"/>
        </w:rPr>
        <w:t>五、服务要求</w:t>
      </w:r>
      <w:bookmarkEnd w:id="24"/>
      <w:bookmarkEnd w:id="27"/>
      <w:bookmarkEnd w:id="28"/>
    </w:p>
    <w:p w14:paraId="45661616">
      <w:pPr>
        <w:pageBreakBefore w:val="0"/>
        <w:widowControl w:val="0"/>
        <w:numPr>
          <w:ilvl w:val="0"/>
          <w:numId w:val="0"/>
        </w:numPr>
        <w:kinsoku/>
        <w:overflowPunct/>
        <w:topLinePunct w:val="0"/>
        <w:autoSpaceDE/>
        <w:autoSpaceDN/>
        <w:bidi w:val="0"/>
        <w:adjustRightInd w:val="0"/>
        <w:snapToGrid/>
        <w:spacing w:beforeLines="0" w:afterLines="0" w:line="56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（一）服务</w:t>
      </w:r>
      <w:r>
        <w:rPr>
          <w:rFonts w:hint="eastAsia" w:ascii="仿宋_GB2312" w:hAnsi="仿宋_GB2312" w:eastAsia="仿宋_GB2312" w:cs="仿宋_GB2312"/>
          <w:color w:val="auto"/>
          <w:kern w:val="2"/>
          <w:sz w:val="24"/>
          <w:szCs w:val="24"/>
          <w:highlight w:val="none"/>
          <w:lang w:val="en-US" w:eastAsia="zh-CN" w:bidi="ar-SA"/>
        </w:rPr>
        <w:t>要求</w:t>
      </w:r>
    </w:p>
    <w:p w14:paraId="46C31922">
      <w:pPr>
        <w:keepLines w:val="0"/>
        <w:pageBreakBefore w:val="0"/>
        <w:widowControl w:val="0"/>
        <w:numPr>
          <w:ilvl w:val="0"/>
          <w:numId w:val="0"/>
        </w:numPr>
        <w:kinsoku/>
        <w:overflowPunct/>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color w:val="auto"/>
          <w:sz w:val="24"/>
          <w:szCs w:val="24"/>
          <w:highlight w:val="none"/>
          <w:lang w:val="en-US" w:eastAsia="zh-CN"/>
        </w:rPr>
      </w:pPr>
      <w:bookmarkStart w:id="29" w:name="_Toc36545096"/>
      <w:r>
        <w:rPr>
          <w:rFonts w:hint="eastAsia" w:ascii="仿宋_GB2312" w:hAnsi="仿宋_GB2312" w:eastAsia="仿宋_GB2312" w:cs="仿宋_GB2312"/>
          <w:color w:val="auto"/>
          <w:sz w:val="24"/>
          <w:szCs w:val="24"/>
          <w:highlight w:val="none"/>
          <w:lang w:val="en-US" w:eastAsia="zh-CN"/>
        </w:rPr>
        <w:t>1.总体要求</w:t>
      </w:r>
    </w:p>
    <w:bookmarkEnd w:id="29"/>
    <w:p w14:paraId="6C5570C8">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供应商应向采购人提供客户化软件及项目涉及的已有系统中客户化部分的目标程序及全部源代码，或为实现项目需求改造员工渠道整合平台等系统，需提供产品软件的目标程序及加密后的全部源代码，且不影响采购人应用的二次开发（可根据实际情况调整）。</w:t>
      </w:r>
    </w:p>
    <w:p w14:paraId="2782ADBD">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保证能够满足项目实施全生命周期中对开发、测试的要求，并支持通过开发实现对未来业务和技术功能的扩展。</w:t>
      </w:r>
    </w:p>
    <w:p w14:paraId="69A4368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为项目配备具有相关资质、技能和经验的技术服务人员，提供所需的信息技术服务。在人员供给方面，应高效及时提供满足采购人要求的高质量人力资源，并且供应商应该具备此类人力资源的储备，保证满足采购人业务需求的开发质量及时间要求。在人员稳定性方面，应有效保障服务队伍的稳定性，以确保服务质量。在人员培训方面，应定期对服务人员进行内部培训，以使人员不断补充提高服务技能。</w:t>
      </w:r>
    </w:p>
    <w:p w14:paraId="4B00494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供应商通过电话、电子邮件、传真等可能必要方式向采购人提供远程技术支持，及时响应采购人服务请求，必要时协商提供人员现场服务支持。</w:t>
      </w:r>
    </w:p>
    <w:p w14:paraId="694C088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2.服务指标</w:t>
      </w:r>
    </w:p>
    <w:p w14:paraId="35A8DBD1">
      <w:pPr>
        <w:widowControl w:val="0"/>
        <w:numPr>
          <w:ilvl w:val="0"/>
          <w:numId w:val="0"/>
        </w:numPr>
        <w:adjustRightInd w:val="0"/>
        <w:spacing w:line="56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服务内容及标准如下：</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1280"/>
        <w:gridCol w:w="6645"/>
      </w:tblGrid>
      <w:tr w14:paraId="59C9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noWrap w:val="0"/>
            <w:vAlign w:val="top"/>
          </w:tcPr>
          <w:p w14:paraId="032F19EB">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751" w:type="pct"/>
            <w:noWrap w:val="0"/>
            <w:vAlign w:val="top"/>
          </w:tcPr>
          <w:p w14:paraId="5A60EA90">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服务要求项目</w:t>
            </w:r>
          </w:p>
        </w:tc>
        <w:tc>
          <w:tcPr>
            <w:tcW w:w="3899" w:type="pct"/>
            <w:noWrap w:val="0"/>
            <w:vAlign w:val="center"/>
          </w:tcPr>
          <w:p w14:paraId="0661B3EF">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服务要求标准</w:t>
            </w:r>
          </w:p>
        </w:tc>
      </w:tr>
      <w:tr w14:paraId="3B0B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349" w:type="pct"/>
            <w:noWrap w:val="0"/>
            <w:vAlign w:val="center"/>
          </w:tcPr>
          <w:p w14:paraId="7E1A14A2">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751" w:type="pct"/>
            <w:noWrap w:val="0"/>
            <w:vAlign w:val="center"/>
          </w:tcPr>
          <w:p w14:paraId="33A29E19">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实施能力</w:t>
            </w:r>
          </w:p>
        </w:tc>
        <w:tc>
          <w:tcPr>
            <w:tcW w:w="3899" w:type="pct"/>
            <w:noWrap w:val="0"/>
            <w:vAlign w:val="center"/>
          </w:tcPr>
          <w:p w14:paraId="2320A8EC">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供应商需已具备本项目涉及系统（具体系统范围见技术要求部分）的自主开发及实施能力，采购人不提供系统培训和相关材料。如需原厂提供技术支持，供应商自行协调解决。</w:t>
            </w:r>
          </w:p>
          <w:p w14:paraId="40DF217C">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本项目中涉及的每个主牵系统，供应商需提供以往同类系统实施案例作为实施能力证明，提供材料（包括但不限于商务合同、工作说明书、验收报告等）的内容应能够直观体现供应商对该类系统的功能改造能力。</w:t>
            </w:r>
          </w:p>
        </w:tc>
      </w:tr>
      <w:tr w14:paraId="57B7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349" w:type="pct"/>
            <w:noWrap w:val="0"/>
            <w:vAlign w:val="center"/>
          </w:tcPr>
          <w:p w14:paraId="5B38CF7D">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w:t>
            </w:r>
          </w:p>
        </w:tc>
        <w:tc>
          <w:tcPr>
            <w:tcW w:w="751" w:type="pct"/>
            <w:noWrap w:val="0"/>
            <w:vAlign w:val="center"/>
          </w:tcPr>
          <w:p w14:paraId="5832B8CE">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源代码</w:t>
            </w:r>
          </w:p>
          <w:p w14:paraId="5046D487">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bCs w:val="0"/>
                <w:color w:val="auto"/>
                <w:sz w:val="24"/>
                <w:szCs w:val="24"/>
                <w:highlight w:val="none"/>
                <w:lang w:eastAsia="zh-CN"/>
              </w:rPr>
              <w:t>要求</w:t>
            </w:r>
          </w:p>
        </w:tc>
        <w:tc>
          <w:tcPr>
            <w:tcW w:w="3899" w:type="pct"/>
            <w:noWrap w:val="0"/>
            <w:vAlign w:val="center"/>
          </w:tcPr>
          <w:p w14:paraId="2F9B25D2">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向采购人提供客户化软件及</w:t>
            </w:r>
            <w:r>
              <w:rPr>
                <w:rFonts w:hint="eastAsia" w:ascii="仿宋_GB2312" w:hAnsi="仿宋_GB2312" w:eastAsia="仿宋_GB2312" w:cs="仿宋_GB2312"/>
                <w:color w:val="auto"/>
                <w:sz w:val="24"/>
                <w:szCs w:val="24"/>
                <w:highlight w:val="none"/>
                <w:lang w:val="en-US" w:eastAsia="zh-CN"/>
              </w:rPr>
              <w:t>项目涉及的已有</w:t>
            </w:r>
            <w:r>
              <w:rPr>
                <w:rFonts w:hint="eastAsia" w:ascii="仿宋_GB2312" w:hAnsi="仿宋_GB2312" w:eastAsia="仿宋_GB2312" w:cs="仿宋_GB2312"/>
                <w:color w:val="auto"/>
                <w:sz w:val="24"/>
                <w:szCs w:val="24"/>
                <w:highlight w:val="none"/>
                <w:lang w:eastAsia="zh-CN"/>
              </w:rPr>
              <w:t>系统中客户化部分的目标程序及全部源代码，以及</w:t>
            </w:r>
            <w:r>
              <w:rPr>
                <w:rFonts w:hint="eastAsia" w:ascii="仿宋_GB2312" w:hAnsi="仿宋_GB2312" w:eastAsia="仿宋_GB2312" w:cs="仿宋_GB2312"/>
                <w:color w:val="auto"/>
                <w:sz w:val="24"/>
                <w:szCs w:val="24"/>
                <w:highlight w:val="none"/>
                <w:lang w:val="en-US" w:eastAsia="zh-CN"/>
              </w:rPr>
              <w:t>为实现项目需求引入的</w:t>
            </w:r>
            <w:r>
              <w:rPr>
                <w:rFonts w:hint="eastAsia" w:ascii="仿宋_GB2312" w:hAnsi="仿宋_GB2312" w:eastAsia="仿宋_GB2312" w:cs="仿宋_GB2312"/>
                <w:color w:val="auto"/>
                <w:sz w:val="24"/>
                <w:szCs w:val="24"/>
                <w:highlight w:val="none"/>
                <w:lang w:eastAsia="zh-CN"/>
              </w:rPr>
              <w:t>产品软件的目标程序及全部源代码。</w:t>
            </w:r>
            <w:r>
              <w:rPr>
                <w:rFonts w:hint="eastAsia" w:ascii="仿宋_GB2312" w:hAnsi="仿宋_GB2312" w:eastAsia="仿宋_GB2312" w:cs="仿宋_GB2312"/>
                <w:color w:val="auto"/>
                <w:sz w:val="24"/>
                <w:szCs w:val="24"/>
                <w:highlight w:val="none"/>
                <w:lang w:val="en-US" w:eastAsia="zh-CN"/>
              </w:rPr>
              <w:t>源代码提供方式由双方协商确定。</w:t>
            </w:r>
          </w:p>
        </w:tc>
      </w:tr>
      <w:tr w14:paraId="6733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349" w:type="pct"/>
            <w:noWrap w:val="0"/>
            <w:vAlign w:val="center"/>
          </w:tcPr>
          <w:p w14:paraId="42522234">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w:t>
            </w:r>
          </w:p>
        </w:tc>
        <w:tc>
          <w:tcPr>
            <w:tcW w:w="751" w:type="pct"/>
            <w:noWrap w:val="0"/>
            <w:vAlign w:val="center"/>
          </w:tcPr>
          <w:p w14:paraId="19E09495">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方式要求</w:t>
            </w:r>
          </w:p>
        </w:tc>
        <w:tc>
          <w:tcPr>
            <w:tcW w:w="3899" w:type="pct"/>
            <w:noWrap w:val="0"/>
            <w:vAlign w:val="center"/>
          </w:tcPr>
          <w:p w14:paraId="45B1852B">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在保持现有系统（具体系统范围见技术要求部分）整体架构和稳定运行的基础上进行本项目开发</w:t>
            </w:r>
          </w:p>
        </w:tc>
      </w:tr>
      <w:tr w14:paraId="6AE2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49" w:type="pct"/>
            <w:noWrap w:val="0"/>
            <w:vAlign w:val="center"/>
          </w:tcPr>
          <w:p w14:paraId="11E6ADE5">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p>
        </w:tc>
        <w:tc>
          <w:tcPr>
            <w:tcW w:w="751" w:type="pct"/>
            <w:noWrap w:val="0"/>
            <w:vAlign w:val="center"/>
          </w:tcPr>
          <w:p w14:paraId="23375E0E">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上线要求</w:t>
            </w:r>
          </w:p>
        </w:tc>
        <w:tc>
          <w:tcPr>
            <w:tcW w:w="3899" w:type="pct"/>
            <w:noWrap w:val="0"/>
            <w:vAlign w:val="center"/>
          </w:tcPr>
          <w:p w14:paraId="7456C97B">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全部需求需按照采购人实施计划上线。</w:t>
            </w:r>
          </w:p>
        </w:tc>
      </w:tr>
      <w:tr w14:paraId="3E3A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noWrap w:val="0"/>
            <w:vAlign w:val="center"/>
          </w:tcPr>
          <w:p w14:paraId="30BE64A1">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w:t>
            </w:r>
          </w:p>
        </w:tc>
        <w:tc>
          <w:tcPr>
            <w:tcW w:w="751" w:type="pct"/>
            <w:noWrap w:val="0"/>
            <w:vAlign w:val="center"/>
          </w:tcPr>
          <w:p w14:paraId="369EE30E">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故障处理</w:t>
            </w:r>
          </w:p>
        </w:tc>
        <w:tc>
          <w:tcPr>
            <w:tcW w:w="3899" w:type="pct"/>
            <w:noWrap w:val="0"/>
            <w:vAlign w:val="top"/>
          </w:tcPr>
          <w:p w14:paraId="1425020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供应商通过标准化的操作流程进行软件的故障诊断和排除；配合其他条线进行故障处理。</w:t>
            </w:r>
          </w:p>
          <w:p w14:paraId="13E94B8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响应时限：（&lt;15）分钟</w:t>
            </w:r>
          </w:p>
          <w:p w14:paraId="48D176C6">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到达现场时限：（&lt;2）小时</w:t>
            </w:r>
          </w:p>
          <w:p w14:paraId="21E7C06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解决问题时限：（&lt;4）小时</w:t>
            </w:r>
          </w:p>
        </w:tc>
      </w:tr>
      <w:tr w14:paraId="54EC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49" w:type="pct"/>
            <w:noWrap w:val="0"/>
            <w:vAlign w:val="center"/>
          </w:tcPr>
          <w:p w14:paraId="7BD75885">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w:t>
            </w:r>
          </w:p>
        </w:tc>
        <w:tc>
          <w:tcPr>
            <w:tcW w:w="751" w:type="pct"/>
            <w:noWrap w:val="0"/>
            <w:vAlign w:val="center"/>
          </w:tcPr>
          <w:p w14:paraId="78891BD8">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总体要求</w:t>
            </w:r>
          </w:p>
        </w:tc>
        <w:tc>
          <w:tcPr>
            <w:tcW w:w="3899" w:type="pct"/>
            <w:noWrap w:val="0"/>
            <w:vAlign w:val="top"/>
          </w:tcPr>
          <w:p w14:paraId="1ABECF65">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针对采购人业务特点阐述系统实施方法论，并结合方法论，描述完整、可行的系统整体技术方案、实施方案，包括但不限于项目管理、需求确认、系统设计、系统开发、系统测试、系统切换、系统推广等方案，以及试运行策略。</w:t>
            </w:r>
          </w:p>
          <w:p w14:paraId="712AAABB">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要求完成项目实施、测试及系统投产等工作，并阐述系统的项目整体技术方案、实施方案、测试方案、系统投产方案，根据需要附相应模板。对于其中采购人有模板要求的交付件，应使用要求的模版进行编写。</w:t>
            </w:r>
          </w:p>
          <w:p w14:paraId="7D1B884F">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阐述项目实施的组织架构（其中应包含采购人人员），并描述实施预期的时间进度表，提供具有明确里程碑的项目实施计划。</w:t>
            </w:r>
          </w:p>
          <w:p w14:paraId="00244B62">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要求提供初步的验收测试计划以及充分的验收标准，并提供系统集成测试和投产测试的测试方案、测试案例和测试工具。</w:t>
            </w:r>
          </w:p>
          <w:p w14:paraId="6E9A871F">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厂商在本项目实施过程中，须服从采购人项目管理机构的管理。</w:t>
            </w:r>
          </w:p>
          <w:p w14:paraId="47507C2E">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要求厂商提供本项目中所有交付物清单，包括但不限于项目文档、产品技术文档（包括平台/系统相关的接口和集成技术规范、设计规范等规范类文件，与整体技术方案一并纳入评审范围。如需外部专家参加评审的，供应商负责外部专家评审费用）、用户手册和系统管理手册。</w:t>
            </w:r>
          </w:p>
          <w:p w14:paraId="51DCB7D6">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阐述系统故障应急预案，确保系统在突发状况后能够及时发现，补救，恢复。</w:t>
            </w:r>
          </w:p>
          <w:p w14:paraId="0576491D">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如有涉及第三方产品及服务，阐述相关产品及服务内容，报价及后期维护方式和费用。</w:t>
            </w:r>
          </w:p>
          <w:p w14:paraId="166966CE">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在技术方案评审阶段，提供软件物料清单，如涉及开源软件引入和使用的，应按照采购人要求开展引入评审和使用备案后方可使用。提供后续对开源软件的维护及升级支持，纳入维保范围。</w:t>
            </w:r>
          </w:p>
          <w:p w14:paraId="73457C1B">
            <w:pPr>
              <w:keepNext w:val="0"/>
              <w:keepLines w:val="0"/>
              <w:pageBreakBefore w:val="0"/>
              <w:widowControl w:val="0"/>
              <w:kinsoku/>
              <w:wordWrap/>
              <w:overflowPunct/>
              <w:topLinePunct w:val="0"/>
              <w:autoSpaceDE/>
              <w:autoSpaceDN/>
              <w:bidi w:val="0"/>
              <w:adjustRightInd/>
              <w:snapToGrid/>
              <w:spacing w:after="0" w:line="320" w:lineRule="exact"/>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项目所涉及系统的新建及升级改造应遵循采购人企业级架构原则进行系统设计，制定系统架构方案，并综合考虑采购人国产化替代工作情况。包括但不限于按照采购人联机、批量、消息等接口标准与行内系统进行交互；可对接采购人统一的用户认证系统，平台内部应用实现单点登录功能；Web页面应基于Chrome内核浏览器进行开发等。</w:t>
            </w:r>
          </w:p>
        </w:tc>
      </w:tr>
      <w:tr w14:paraId="4FA3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349" w:type="pct"/>
            <w:noWrap w:val="0"/>
            <w:vAlign w:val="center"/>
          </w:tcPr>
          <w:p w14:paraId="5C74752A">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w:t>
            </w:r>
          </w:p>
        </w:tc>
        <w:tc>
          <w:tcPr>
            <w:tcW w:w="751" w:type="pct"/>
            <w:noWrap w:val="0"/>
            <w:vAlign w:val="center"/>
          </w:tcPr>
          <w:p w14:paraId="775A0BE0">
            <w:pPr>
              <w:widowControl/>
              <w:spacing w:after="120" w:line="320" w:lineRule="exact"/>
              <w:ind w:firstLine="0" w:firstLineChars="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应用架构要求</w:t>
            </w:r>
          </w:p>
        </w:tc>
        <w:tc>
          <w:tcPr>
            <w:tcW w:w="3899" w:type="pct"/>
            <w:noWrap w:val="0"/>
            <w:vAlign w:val="top"/>
          </w:tcPr>
          <w:p w14:paraId="457502C6">
            <w:pPr>
              <w:widowControl/>
              <w:spacing w:after="12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（1）遵循采购人企业级架构原则进行系统设计，制定系统架构方案。</w:t>
            </w:r>
          </w:p>
          <w:p w14:paraId="4FD529EA">
            <w:pPr>
              <w:widowControl/>
              <w:spacing w:after="12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（2）融入采购人企业级架构，遵循渠道、服务、产品分离的架构原则。</w:t>
            </w:r>
          </w:p>
          <w:p w14:paraId="2B02D87B">
            <w:pPr>
              <w:widowControl/>
              <w:spacing w:after="12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（3）遵循采购人服务集成原则，服务需通过采购人统一的应用调度平台进行注册与发布。</w:t>
            </w:r>
          </w:p>
          <w:p w14:paraId="1CD97458">
            <w:pPr>
              <w:widowControl/>
              <w:spacing w:after="12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（4）遵循采购人外联服务设计原则及接入模式。</w:t>
            </w:r>
          </w:p>
          <w:p w14:paraId="5BC23E05">
            <w:pPr>
              <w:widowControl/>
              <w:spacing w:after="12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（5）按照采购人联机、批量、文件传输、事件消息等接口和相关报文标准与行内相关系统进行交互。</w:t>
            </w:r>
          </w:p>
          <w:p w14:paraId="10B40C30">
            <w:pPr>
              <w:widowControl/>
              <w:spacing w:after="12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（6）遵循采购人全局事件跟踪号编码规范。</w:t>
            </w:r>
          </w:p>
          <w:p w14:paraId="62896472">
            <w:pPr>
              <w:widowControl/>
              <w:spacing w:after="12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（7）使用采购人公共组件进行机构与用户信息管理，融入采购人统一的用户权限控制机制。</w:t>
            </w:r>
          </w:p>
          <w:p w14:paraId="30FFBE67">
            <w:pPr>
              <w:widowControl/>
              <w:spacing w:after="12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（8）对接采购人用户认证等系统按照统一标准实现单点登陆等功能。</w:t>
            </w:r>
          </w:p>
          <w:p w14:paraId="1BA3CE23">
            <w:pPr>
              <w:widowControl/>
              <w:spacing w:after="12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（9）采用高内聚、低耦合原则进行模块设计。</w:t>
            </w:r>
          </w:p>
          <w:p w14:paraId="267905DE">
            <w:pPr>
              <w:widowControl/>
              <w:spacing w:after="0" w:line="320" w:lineRule="exact"/>
              <w:ind w:firstLine="0" w:firstLine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（10）按照采购人开源软件管理的要求引入开源软件。供应商所投产品使用开源技术或产品的，供应商应确保所用开源技术或产品符合采购人开源技术/产品引入相关制度管理规定。</w:t>
            </w:r>
          </w:p>
          <w:p w14:paraId="53EF383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严禁供应商使用来源不明的、停止服务的或不在维护期内的开源技术；</w:t>
            </w:r>
          </w:p>
          <w:p w14:paraId="6ADECDB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严禁供应商使用权利状态不明确、有法律风险的开源技术；</w:t>
            </w:r>
          </w:p>
          <w:p w14:paraId="6BB7A700">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供应商应提交已经修改了开源技术漏洞和许可证风险的产品，并附加相应证明材料，含软件物料清单（即 SBOM）；</w:t>
            </w:r>
          </w:p>
          <w:p w14:paraId="67CF6E1B">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承诺对于维护期内出现的新漏洞和新许可证风险予以持续修复；</w:t>
            </w:r>
          </w:p>
          <w:p w14:paraId="39C2BA5B">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供应商内部应建立开源技术管理规范。</w:t>
            </w:r>
          </w:p>
        </w:tc>
      </w:tr>
      <w:tr w14:paraId="251D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349" w:type="pct"/>
            <w:noWrap w:val="0"/>
            <w:vAlign w:val="center"/>
          </w:tcPr>
          <w:p w14:paraId="521E3D83">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w:t>
            </w:r>
          </w:p>
        </w:tc>
        <w:tc>
          <w:tcPr>
            <w:tcW w:w="751" w:type="pct"/>
            <w:noWrap w:val="0"/>
            <w:vAlign w:val="center"/>
          </w:tcPr>
          <w:p w14:paraId="7A553957">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项目实施要求</w:t>
            </w:r>
          </w:p>
        </w:tc>
        <w:tc>
          <w:tcPr>
            <w:tcW w:w="3899" w:type="pct"/>
            <w:noWrap w:val="0"/>
            <w:vAlign w:val="top"/>
          </w:tcPr>
          <w:p w14:paraId="7D810BA3">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以下列出了本项目实施过程中重要的实施任务，供应商应承诺完成所有实施任务，并遵守其中相关约定。相关要求参照项目工作说明书。</w:t>
            </w:r>
          </w:p>
          <w:p w14:paraId="10F1E707">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（一）项目管理。</w:t>
            </w:r>
          </w:p>
          <w:p w14:paraId="29409505">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负责制定项目计划，并按照采购人的要求进行必要的调整。监督和控制项目进度。</w:t>
            </w:r>
          </w:p>
          <w:p w14:paraId="686360B1">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负责管理安排项目资源。</w:t>
            </w:r>
          </w:p>
          <w:p w14:paraId="3A18B68F">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负责配合管理项目的各项任务执行、人力资源、相互工作配合与交付承诺。</w:t>
            </w:r>
          </w:p>
          <w:p w14:paraId="6216BFB2">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负责配合管理项目范围和需求变更，并协调变更要求的签署。</w:t>
            </w:r>
          </w:p>
          <w:p w14:paraId="7076C756">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负责实施项目配置和交付管理以及项目质量管理。</w:t>
            </w:r>
          </w:p>
          <w:p w14:paraId="4879FD0E">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负责项目问题管理和项目风险管理。</w:t>
            </w:r>
          </w:p>
          <w:p w14:paraId="5901203B">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负责与采购人进行沟通并按照要求进行工作报告。</w:t>
            </w:r>
          </w:p>
          <w:p w14:paraId="29475C53">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（二）业务功能分析和设计。</w:t>
            </w:r>
          </w:p>
          <w:p w14:paraId="225BE0A9">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负责对本项目需求梳理细化。</w:t>
            </w:r>
          </w:p>
          <w:p w14:paraId="64529D09">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负责业务需求差异分析和评估。</w:t>
            </w:r>
          </w:p>
          <w:p w14:paraId="2C121B4E">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负责业务功能分析和制定。</w:t>
            </w:r>
          </w:p>
          <w:p w14:paraId="18EDD8C6">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负责编写需求规格说明书。</w:t>
            </w:r>
          </w:p>
          <w:p w14:paraId="66916280">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负责提出与周边系统的集成解决方案。</w:t>
            </w:r>
          </w:p>
          <w:p w14:paraId="1DEA6F0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负责系统配置设计、界面设计、扩展功能开发设计、数据转换设计等。</w:t>
            </w:r>
          </w:p>
          <w:p w14:paraId="6E46AEEB">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（三）技术架构分析和设计。</w:t>
            </w:r>
          </w:p>
          <w:p w14:paraId="717D46F5">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负责制定技术架构方案。</w:t>
            </w:r>
          </w:p>
          <w:p w14:paraId="7DC3177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负责制定运维管理方案。</w:t>
            </w:r>
          </w:p>
          <w:p w14:paraId="3A935E8B">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负责分析接口定义并提出技术实现方案。</w:t>
            </w:r>
          </w:p>
          <w:p w14:paraId="6D9F6E5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负责评估与采购人总体技术架构的差异，并编写技术规格说明书。</w:t>
            </w:r>
          </w:p>
          <w:p w14:paraId="2D7F6535">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负责提出开发与测试环境的构建方案。</w:t>
            </w:r>
          </w:p>
          <w:p w14:paraId="53657C6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负责提出生产环境的构建方案。</w:t>
            </w:r>
          </w:p>
          <w:p w14:paraId="4FEB18A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负责编写技术设计说明书。</w:t>
            </w:r>
          </w:p>
          <w:p w14:paraId="51E57969">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（四）业务功能构建。</w:t>
            </w:r>
          </w:p>
          <w:p w14:paraId="2F921C9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负责提出参数配置模版及配置方案。</w:t>
            </w:r>
          </w:p>
          <w:p w14:paraId="226FD97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负责进行客户化部分的详细设计，并编写详细设计说明书。</w:t>
            </w:r>
          </w:p>
          <w:p w14:paraId="46C6B90D">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负责接口开发、扩展功能开发、数据转换开发。</w:t>
            </w:r>
          </w:p>
          <w:p w14:paraId="724A67C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负责计划、准备与执行单元测试。</w:t>
            </w:r>
          </w:p>
          <w:p w14:paraId="42F73FD4">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负责确认单元测试结果并提交单元测试报告。</w:t>
            </w:r>
          </w:p>
          <w:p w14:paraId="609C3061">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（五）技术架构构建。</w:t>
            </w:r>
          </w:p>
          <w:p w14:paraId="7706E643">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负责测试环境的构建与确认。</w:t>
            </w:r>
          </w:p>
          <w:p w14:paraId="06DBCA7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负责就测试环境管理流程和制度与采购人达成一致。</w:t>
            </w:r>
          </w:p>
          <w:p w14:paraId="24D553FB">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负责进行测试环境下的应用系统的安装和配置。</w:t>
            </w:r>
          </w:p>
          <w:p w14:paraId="3DE78589">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（六）产品测试和性能测试。</w:t>
            </w:r>
          </w:p>
          <w:p w14:paraId="12CA20E5">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负责产品测试的计划、准备和执行。</w:t>
            </w:r>
          </w:p>
          <w:p w14:paraId="4DD9E407">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负责系统修补，并完成产品测试报告。</w:t>
            </w:r>
          </w:p>
          <w:p w14:paraId="24A121C3">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负责性能测试的计划、准备和执行。</w:t>
            </w:r>
          </w:p>
          <w:p w14:paraId="68835FA4">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负责系统调优和进一步的性能测试，并负责完成性能测试报告。</w:t>
            </w:r>
          </w:p>
          <w:p w14:paraId="27E8B24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（七）系统集成测试。</w:t>
            </w:r>
          </w:p>
          <w:p w14:paraId="3BE8EC15">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负责提出系统集成测试计划和方案。</w:t>
            </w:r>
          </w:p>
          <w:p w14:paraId="6FBC9C9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负责完成系统集成测试案例、测试脚本以及相关的测试数据。</w:t>
            </w:r>
          </w:p>
          <w:p w14:paraId="15EE3CAE">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负责在采购人统一管理下执行系统集成测试，进行系统修补和必要的回归测试。</w:t>
            </w:r>
          </w:p>
          <w:p w14:paraId="3BD46686">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负责完成相应的系统集成测试报告。</w:t>
            </w:r>
          </w:p>
          <w:p w14:paraId="74EB52E4">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（八）用户验收测试。</w:t>
            </w:r>
          </w:p>
          <w:p w14:paraId="3A6CB326">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协助提出用户验收测试计划和方案。</w:t>
            </w:r>
          </w:p>
          <w:p w14:paraId="6243851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协助准备用户验收测试案例、测试脚本和数据。</w:t>
            </w:r>
          </w:p>
          <w:p w14:paraId="30481D60">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协助执行用户验收测试。</w:t>
            </w:r>
          </w:p>
          <w:p w14:paraId="02F638D3">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负责系统修补。</w:t>
            </w:r>
          </w:p>
          <w:p w14:paraId="5395AB8C">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协助进行回归测试、协助完成用户验收测试报告。</w:t>
            </w:r>
          </w:p>
          <w:p w14:paraId="435BCC5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（九）投产和推广（包括投产、试运行、正式运行、最终验收）。</w:t>
            </w:r>
          </w:p>
          <w:p w14:paraId="6FEE217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根据需要负责制定上线演练计划和方案。</w:t>
            </w:r>
          </w:p>
          <w:p w14:paraId="1656B362">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负责制定投产演练方案、运维测试方案，负责运维培训，配合行方完成投产演练和运维测试工作。</w:t>
            </w:r>
          </w:p>
          <w:p w14:paraId="32EE39CD">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在采购人统一管理下执行上线演练。</w:t>
            </w:r>
          </w:p>
          <w:p w14:paraId="0A8BCE2B">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负责制定投产上线范围、制定系统（数据、业务）投产上线计划。</w:t>
            </w:r>
          </w:p>
          <w:p w14:paraId="499E982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负责制定投产上线操作方案、流程和策略，并制定应急和恢复方案。</w:t>
            </w:r>
          </w:p>
          <w:p w14:paraId="4B14D67E">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负责制定试运行方案、流程和策略，并制定应急和恢复方案。</w:t>
            </w:r>
          </w:p>
          <w:p w14:paraId="489A6FBA">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协助采购人进行推广文档编制。</w:t>
            </w:r>
          </w:p>
          <w:p w14:paraId="4A91F720">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协助采购人完成投产上线。</w:t>
            </w:r>
          </w:p>
          <w:p w14:paraId="2C83388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支持系统试运行工作。</w:t>
            </w:r>
          </w:p>
          <w:p w14:paraId="57856C68">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协助采购人完成系统最终验收。</w:t>
            </w:r>
          </w:p>
          <w:p w14:paraId="2A48C3E2">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（十）第三方测试（如有）。</w:t>
            </w:r>
          </w:p>
          <w:p w14:paraId="76F50226">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负责准备测试对象的搭建及调试。</w:t>
            </w:r>
          </w:p>
          <w:p w14:paraId="1E02FE6C">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负责按第三方测试要求准备测试数据。</w:t>
            </w:r>
          </w:p>
          <w:p w14:paraId="6A815251">
            <w:pPr>
              <w:widowControl/>
              <w:spacing w:after="0" w:line="320" w:lineRule="exact"/>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为第三方测试提供技术支持。</w:t>
            </w:r>
          </w:p>
          <w:p w14:paraId="2472C617">
            <w:pPr>
              <w:widowControl w:val="0"/>
              <w:spacing w:after="0" w:line="320" w:lineRule="exact"/>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负责缺陷修复。</w:t>
            </w:r>
          </w:p>
        </w:tc>
      </w:tr>
      <w:tr w14:paraId="27E4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noWrap w:val="0"/>
            <w:vAlign w:val="center"/>
          </w:tcPr>
          <w:p w14:paraId="57A194AF">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w:t>
            </w:r>
          </w:p>
        </w:tc>
        <w:tc>
          <w:tcPr>
            <w:tcW w:w="751" w:type="pct"/>
            <w:noWrap w:val="0"/>
            <w:vAlign w:val="center"/>
          </w:tcPr>
          <w:p w14:paraId="3D84BE9D">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2"/>
                <w:sz w:val="24"/>
                <w:szCs w:val="24"/>
                <w:highlight w:val="none"/>
              </w:rPr>
              <w:t>培训及知识转移要求</w:t>
            </w:r>
          </w:p>
        </w:tc>
        <w:tc>
          <w:tcPr>
            <w:tcW w:w="3899" w:type="pct"/>
            <w:noWrap w:val="0"/>
            <w:vAlign w:val="top"/>
          </w:tcPr>
          <w:p w14:paraId="51B88AA3">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（一）培训对象：培训对象包括采购人的开发人员、系统运行维护管理人员，以及采购人指定的其他相关人员（包括第三方人员）。</w:t>
            </w:r>
          </w:p>
          <w:p w14:paraId="6A900174">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（二）培训目标：通过培训，应使上述人员：掌握系统提供的内容和功能，以及使用权限划分与操作方式；掌握本项目新客户化开发部分功能的二次开发能力。</w:t>
            </w:r>
          </w:p>
          <w:p w14:paraId="282C116B">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三）培训内容：供应商应具有知识和技术转移的意愿，并阐述详细的实际措施，以对项目实施阶段的参与者及项目最终的使用、开发和运维团队进行全面、有效的知识转移。供应商需提供系统在配置、开发、安装、使用、监控和维护等方面的培训。供应商须详细列出各阶段培训的服务清单，服务清单包括培训内容、授课方式、培训对象、时间计划安排和培训反馈处理等，对项目实施阶段的参与者及项目最终的使用、开发和运维团队进行全面、有效的知识转移，确保采购人形成一支熟悉系统运用、二次开发和维护的队伍。对于开发部分的知识和技术转移时间安排由采购人确定。</w:t>
            </w:r>
          </w:p>
          <w:p w14:paraId="242C926B">
            <w:pPr>
              <w:keepNext w:val="0"/>
              <w:keepLines w:val="0"/>
              <w:pageBreakBefore w:val="0"/>
              <w:widowControl/>
              <w:numPr>
                <w:ilvl w:val="0"/>
                <w:numId w:val="0"/>
              </w:numPr>
              <w:kinsoku/>
              <w:wordWrap/>
              <w:overflowPunct/>
              <w:topLinePunct w:val="0"/>
              <w:autoSpaceDE/>
              <w:autoSpaceDN/>
              <w:bidi w:val="0"/>
              <w:adjustRightInd/>
              <w:snapToGrid/>
              <w:spacing w:after="0" w:line="320" w:lineRule="exact"/>
              <w:ind w:leftChars="0"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（四）培训材料：供应商为所有被培训人员提供完备的文字资料（书面及电子版）和讲义（书面及电子版）等相关用品。</w:t>
            </w:r>
          </w:p>
        </w:tc>
      </w:tr>
    </w:tbl>
    <w:p w14:paraId="109D544E">
      <w:pPr>
        <w:pageBreakBefore w:val="0"/>
        <w:numPr>
          <w:ilvl w:val="0"/>
          <w:numId w:val="0"/>
        </w:numPr>
        <w:kinsoku/>
        <w:overflowPunct/>
        <w:topLinePunct w:val="0"/>
        <w:autoSpaceDE/>
        <w:autoSpaceDN/>
        <w:bidi w:val="0"/>
        <w:snapToGrid/>
        <w:spacing w:beforeLines="0" w:afterLines="0" w:line="560" w:lineRule="exact"/>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color w:val="auto"/>
          <w:sz w:val="24"/>
          <w:szCs w:val="24"/>
          <w:highlight w:val="none"/>
          <w:lang w:val="en-US" w:eastAsia="zh-CN"/>
        </w:rPr>
        <w:t>（二）主要交付物</w:t>
      </w:r>
    </w:p>
    <w:p w14:paraId="32D45B1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在项目工作书中明确交付物类型、内容及交付形式，包含但不限于以下内容。</w:t>
      </w:r>
    </w:p>
    <w:tbl>
      <w:tblPr>
        <w:tblStyle w:val="1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7119"/>
      </w:tblGrid>
      <w:tr w14:paraId="68D1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22" w:type="pct"/>
            <w:shd w:val="clear" w:color="auto" w:fill="BEBEBE"/>
            <w:noWrap w:val="0"/>
            <w:vAlign w:val="center"/>
          </w:tcPr>
          <w:p w14:paraId="4CFB9EE6">
            <w:pPr>
              <w:spacing w:line="240" w:lineRule="auto"/>
              <w:jc w:val="center"/>
              <w:rPr>
                <w:rFonts w:hint="eastAsia" w:ascii="仿宋_GB2312" w:hAnsi="仿宋_GB2312" w:eastAsia="仿宋_GB2312" w:cs="仿宋_GB2312"/>
                <w:b/>
                <w:color w:val="auto"/>
                <w:highlight w:val="none"/>
              </w:rPr>
            </w:pPr>
            <w:bookmarkStart w:id="30" w:name="_Toc23093"/>
            <w:r>
              <w:rPr>
                <w:rFonts w:hint="eastAsia" w:ascii="仿宋_GB2312" w:hAnsi="仿宋_GB2312" w:eastAsia="仿宋_GB2312" w:cs="仿宋_GB2312"/>
                <w:b/>
                <w:color w:val="auto"/>
                <w:highlight w:val="none"/>
              </w:rPr>
              <w:t>过程域</w:t>
            </w:r>
          </w:p>
        </w:tc>
        <w:tc>
          <w:tcPr>
            <w:tcW w:w="4177" w:type="pct"/>
            <w:shd w:val="clear" w:color="auto" w:fill="BEBEBE"/>
            <w:noWrap w:val="0"/>
            <w:vAlign w:val="center"/>
          </w:tcPr>
          <w:p w14:paraId="31388BA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文档</w:t>
            </w:r>
          </w:p>
        </w:tc>
      </w:tr>
      <w:tr w14:paraId="70A3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restart"/>
            <w:noWrap w:val="0"/>
            <w:vAlign w:val="center"/>
          </w:tcPr>
          <w:p w14:paraId="2AECCEB2">
            <w:pPr>
              <w:spacing w:line="24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项目管理</w:t>
            </w:r>
          </w:p>
        </w:tc>
        <w:tc>
          <w:tcPr>
            <w:tcW w:w="4177" w:type="pct"/>
            <w:noWrap w:val="0"/>
            <w:vAlign w:val="center"/>
          </w:tcPr>
          <w:p w14:paraId="65D06EB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《项目详细实施计划》</w:t>
            </w:r>
          </w:p>
        </w:tc>
      </w:tr>
      <w:tr w14:paraId="5F58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0205606F">
            <w:pPr>
              <w:spacing w:line="240" w:lineRule="auto"/>
              <w:jc w:val="center"/>
              <w:rPr>
                <w:rFonts w:hint="eastAsia" w:ascii="仿宋_GB2312" w:hAnsi="仿宋_GB2312" w:eastAsia="仿宋_GB2312" w:cs="仿宋_GB2312"/>
                <w:color w:val="auto"/>
                <w:highlight w:val="none"/>
              </w:rPr>
            </w:pPr>
          </w:p>
        </w:tc>
        <w:tc>
          <w:tcPr>
            <w:tcW w:w="4177" w:type="pct"/>
            <w:noWrap w:val="0"/>
            <w:vAlign w:val="center"/>
          </w:tcPr>
          <w:p w14:paraId="3BB0303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《项目质量审计报告》</w:t>
            </w:r>
          </w:p>
        </w:tc>
      </w:tr>
      <w:tr w14:paraId="48F6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5D500D1B">
            <w:pPr>
              <w:spacing w:line="240" w:lineRule="auto"/>
              <w:jc w:val="center"/>
              <w:rPr>
                <w:rFonts w:hint="eastAsia" w:ascii="仿宋_GB2312" w:hAnsi="仿宋_GB2312" w:eastAsia="仿宋_GB2312" w:cs="仿宋_GB2312"/>
                <w:color w:val="auto"/>
                <w:highlight w:val="none"/>
              </w:rPr>
            </w:pPr>
          </w:p>
        </w:tc>
        <w:tc>
          <w:tcPr>
            <w:tcW w:w="4177" w:type="pct"/>
            <w:noWrap w:val="0"/>
            <w:vAlign w:val="center"/>
          </w:tcPr>
          <w:p w14:paraId="52B570E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《关键人员简历》</w:t>
            </w:r>
          </w:p>
        </w:tc>
      </w:tr>
      <w:tr w14:paraId="0C91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7CC4D3D8">
            <w:pPr>
              <w:spacing w:line="240" w:lineRule="auto"/>
              <w:jc w:val="center"/>
              <w:rPr>
                <w:rFonts w:hint="eastAsia" w:ascii="仿宋_GB2312" w:hAnsi="仿宋_GB2312" w:eastAsia="仿宋_GB2312" w:cs="仿宋_GB2312"/>
                <w:color w:val="auto"/>
                <w:highlight w:val="none"/>
              </w:rPr>
            </w:pPr>
          </w:p>
        </w:tc>
        <w:tc>
          <w:tcPr>
            <w:tcW w:w="4177" w:type="pct"/>
            <w:noWrap w:val="0"/>
            <w:vAlign w:val="center"/>
          </w:tcPr>
          <w:p w14:paraId="30A7CF9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《关键人员人力资源变动报告》</w:t>
            </w:r>
          </w:p>
        </w:tc>
      </w:tr>
      <w:tr w14:paraId="68CC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3D0BDEE2">
            <w:pPr>
              <w:spacing w:line="240" w:lineRule="auto"/>
              <w:jc w:val="center"/>
              <w:rPr>
                <w:rFonts w:hint="eastAsia" w:ascii="仿宋_GB2312" w:hAnsi="仿宋_GB2312" w:eastAsia="仿宋_GB2312" w:cs="仿宋_GB2312"/>
                <w:color w:val="auto"/>
                <w:highlight w:val="none"/>
              </w:rPr>
            </w:pPr>
          </w:p>
        </w:tc>
        <w:tc>
          <w:tcPr>
            <w:tcW w:w="4177" w:type="pct"/>
            <w:noWrap w:val="0"/>
            <w:vAlign w:val="center"/>
          </w:tcPr>
          <w:p w14:paraId="187FD21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项目状态报告：日常管理采用周报</w:t>
            </w:r>
          </w:p>
        </w:tc>
      </w:tr>
      <w:tr w14:paraId="1543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noWrap w:val="0"/>
            <w:vAlign w:val="center"/>
          </w:tcPr>
          <w:p w14:paraId="0736DCE1">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架构管理</w:t>
            </w:r>
          </w:p>
        </w:tc>
        <w:tc>
          <w:tcPr>
            <w:tcW w:w="4177" w:type="pct"/>
            <w:noWrap w:val="0"/>
            <w:vAlign w:val="center"/>
          </w:tcPr>
          <w:p w14:paraId="0AA97D7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技术方案说明书</w:t>
            </w:r>
          </w:p>
        </w:tc>
      </w:tr>
      <w:tr w14:paraId="3867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restart"/>
            <w:noWrap w:val="0"/>
            <w:vAlign w:val="center"/>
          </w:tcPr>
          <w:p w14:paraId="75988333">
            <w:pPr>
              <w:spacing w:line="24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需求分析</w:t>
            </w:r>
          </w:p>
        </w:tc>
        <w:tc>
          <w:tcPr>
            <w:tcW w:w="4177" w:type="pct"/>
            <w:noWrap w:val="0"/>
            <w:vAlign w:val="top"/>
          </w:tcPr>
          <w:p w14:paraId="4C9056F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《功能需求规格说明书》</w:t>
            </w:r>
          </w:p>
        </w:tc>
      </w:tr>
      <w:tr w14:paraId="5231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22ECBAFE">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4A04497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《非功能需求规格说明书》（如有）</w:t>
            </w:r>
          </w:p>
        </w:tc>
      </w:tr>
      <w:tr w14:paraId="30F5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restart"/>
            <w:noWrap w:val="0"/>
            <w:vAlign w:val="center"/>
          </w:tcPr>
          <w:p w14:paraId="4AF6CD58">
            <w:pPr>
              <w:spacing w:line="24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设计</w:t>
            </w:r>
          </w:p>
        </w:tc>
        <w:tc>
          <w:tcPr>
            <w:tcW w:w="4177" w:type="pct"/>
            <w:noWrap w:val="0"/>
            <w:vAlign w:val="top"/>
          </w:tcPr>
          <w:p w14:paraId="419314B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《概要设计说明书》</w:t>
            </w:r>
          </w:p>
        </w:tc>
      </w:tr>
      <w:tr w14:paraId="0A1E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822" w:type="pct"/>
            <w:vMerge w:val="continue"/>
            <w:noWrap w:val="0"/>
            <w:vAlign w:val="center"/>
          </w:tcPr>
          <w:p w14:paraId="7C51B926">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13C70B4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《详细设计说明书》</w:t>
            </w:r>
          </w:p>
        </w:tc>
      </w:tr>
      <w:tr w14:paraId="75B08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1D5DE584">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1F54556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应用系统部署架构（如有）</w:t>
            </w:r>
          </w:p>
        </w:tc>
      </w:tr>
      <w:tr w14:paraId="6D70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2249CCDA">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56943B2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基础软硬件配置清单（如有）</w:t>
            </w:r>
          </w:p>
        </w:tc>
      </w:tr>
      <w:tr w14:paraId="3876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restart"/>
            <w:noWrap w:val="0"/>
            <w:vAlign w:val="center"/>
          </w:tcPr>
          <w:p w14:paraId="0A445A99">
            <w:pPr>
              <w:spacing w:line="24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开发</w:t>
            </w:r>
          </w:p>
        </w:tc>
        <w:tc>
          <w:tcPr>
            <w:tcW w:w="4177" w:type="pct"/>
            <w:noWrap w:val="0"/>
            <w:vAlign w:val="top"/>
          </w:tcPr>
          <w:p w14:paraId="7F14AD3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《单元测试案例》</w:t>
            </w:r>
          </w:p>
        </w:tc>
      </w:tr>
      <w:tr w14:paraId="6862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0EAFDEA6">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79969DE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《系统内集成测试案例》</w:t>
            </w:r>
          </w:p>
        </w:tc>
      </w:tr>
      <w:tr w14:paraId="7F45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822" w:type="pct"/>
            <w:vMerge w:val="continue"/>
            <w:noWrap w:val="0"/>
            <w:vAlign w:val="center"/>
          </w:tcPr>
          <w:p w14:paraId="40CC8ACC">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646D772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《系统内集成测试报告》</w:t>
            </w:r>
          </w:p>
        </w:tc>
      </w:tr>
      <w:tr w14:paraId="3AD1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restart"/>
            <w:noWrap w:val="0"/>
            <w:vAlign w:val="center"/>
          </w:tcPr>
          <w:p w14:paraId="67294DD3">
            <w:pPr>
              <w:spacing w:line="24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测试</w:t>
            </w:r>
          </w:p>
        </w:tc>
        <w:tc>
          <w:tcPr>
            <w:tcW w:w="4177" w:type="pct"/>
            <w:noWrap w:val="0"/>
            <w:vAlign w:val="top"/>
          </w:tcPr>
          <w:p w14:paraId="44156F9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
              </w:rPr>
              <w:t>系统间集成</w:t>
            </w:r>
            <w:r>
              <w:rPr>
                <w:rFonts w:hint="eastAsia" w:ascii="仿宋_GB2312" w:hAnsi="仿宋_GB2312" w:eastAsia="仿宋_GB2312" w:cs="仿宋_GB2312"/>
                <w:color w:val="auto"/>
                <w:highlight w:val="none"/>
              </w:rPr>
              <w:t>测试案例》</w:t>
            </w:r>
          </w:p>
        </w:tc>
      </w:tr>
      <w:tr w14:paraId="3B1C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5894BA44">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51A55DD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
              </w:rPr>
              <w:t>系统间集成测</w:t>
            </w:r>
            <w:r>
              <w:rPr>
                <w:rFonts w:hint="eastAsia" w:ascii="仿宋_GB2312" w:hAnsi="仿宋_GB2312" w:eastAsia="仿宋_GB2312" w:cs="仿宋_GB2312"/>
                <w:color w:val="auto"/>
                <w:highlight w:val="none"/>
              </w:rPr>
              <w:t>试报告》</w:t>
            </w:r>
          </w:p>
        </w:tc>
      </w:tr>
      <w:tr w14:paraId="1E18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2855BCA6">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3083D59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通过用户验收测试后的源代码</w:t>
            </w:r>
          </w:p>
        </w:tc>
      </w:tr>
      <w:tr w14:paraId="7F36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restart"/>
            <w:noWrap w:val="0"/>
            <w:vAlign w:val="center"/>
          </w:tcPr>
          <w:p w14:paraId="4E1C5F37">
            <w:pPr>
              <w:spacing w:line="24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业务培训</w:t>
            </w:r>
          </w:p>
        </w:tc>
        <w:tc>
          <w:tcPr>
            <w:tcW w:w="4177" w:type="pct"/>
            <w:noWrap w:val="0"/>
            <w:vAlign w:val="top"/>
          </w:tcPr>
          <w:p w14:paraId="6CABBD3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《培训讲义》（如有）</w:t>
            </w:r>
          </w:p>
        </w:tc>
      </w:tr>
      <w:tr w14:paraId="74BE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11EE1A4A">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0A9910A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《用户操作手册》（如有）</w:t>
            </w:r>
          </w:p>
        </w:tc>
      </w:tr>
      <w:tr w14:paraId="1F45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noWrap w:val="0"/>
            <w:vAlign w:val="center"/>
          </w:tcPr>
          <w:p w14:paraId="2019D128">
            <w:pPr>
              <w:spacing w:line="24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技术培训</w:t>
            </w:r>
          </w:p>
        </w:tc>
        <w:tc>
          <w:tcPr>
            <w:tcW w:w="4177" w:type="pct"/>
            <w:noWrap w:val="0"/>
            <w:vAlign w:val="top"/>
          </w:tcPr>
          <w:p w14:paraId="07F02C7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《培训讲义》（如有）</w:t>
            </w:r>
          </w:p>
        </w:tc>
      </w:tr>
      <w:tr w14:paraId="2776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restart"/>
            <w:noWrap w:val="0"/>
            <w:vAlign w:val="center"/>
          </w:tcPr>
          <w:p w14:paraId="29155AF8">
            <w:pPr>
              <w:spacing w:line="24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系统投产</w:t>
            </w:r>
          </w:p>
        </w:tc>
        <w:tc>
          <w:tcPr>
            <w:tcW w:w="4177" w:type="pct"/>
            <w:noWrap w:val="0"/>
            <w:vAlign w:val="top"/>
          </w:tcPr>
          <w:p w14:paraId="4CD738F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《投产任务跟踪表》（按版本）</w:t>
            </w:r>
          </w:p>
        </w:tc>
      </w:tr>
      <w:tr w14:paraId="3B55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09AAD4A4">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0B08BD8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《操作控制表》</w:t>
            </w:r>
          </w:p>
        </w:tc>
      </w:tr>
      <w:tr w14:paraId="1CB5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2F85BC41">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1A6A15C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待投产的应用程序版本</w:t>
            </w:r>
          </w:p>
        </w:tc>
      </w:tr>
      <w:tr w14:paraId="051A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7AD613C0">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711C97D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《应急预案》（如有）</w:t>
            </w:r>
          </w:p>
        </w:tc>
      </w:tr>
      <w:tr w14:paraId="3660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7FD9779A">
            <w:pPr>
              <w:spacing w:line="240" w:lineRule="auto"/>
              <w:jc w:val="center"/>
              <w:rPr>
                <w:rFonts w:hint="eastAsia" w:ascii="仿宋_GB2312" w:hAnsi="仿宋_GB2312" w:eastAsia="仿宋_GB2312" w:cs="仿宋_GB2312"/>
                <w:color w:val="auto"/>
                <w:highlight w:val="none"/>
              </w:rPr>
            </w:pPr>
          </w:p>
        </w:tc>
        <w:tc>
          <w:tcPr>
            <w:tcW w:w="4177" w:type="pct"/>
            <w:noWrap w:val="0"/>
            <w:vAlign w:val="top"/>
          </w:tcPr>
          <w:p w14:paraId="006F86A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《投产报告》（按版本）</w:t>
            </w:r>
          </w:p>
        </w:tc>
      </w:tr>
      <w:tr w14:paraId="55F3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13E61487">
            <w:pPr>
              <w:spacing w:line="240" w:lineRule="auto"/>
              <w:jc w:val="center"/>
              <w:rPr>
                <w:rFonts w:hint="eastAsia" w:ascii="仿宋_GB2312" w:hAnsi="仿宋_GB2312" w:eastAsia="仿宋_GB2312" w:cs="仿宋_GB2312"/>
                <w:color w:val="auto"/>
                <w:highlight w:val="none"/>
              </w:rPr>
            </w:pPr>
          </w:p>
        </w:tc>
        <w:tc>
          <w:tcPr>
            <w:tcW w:w="4177" w:type="pct"/>
            <w:noWrap w:val="0"/>
            <w:vAlign w:val="center"/>
          </w:tcPr>
          <w:p w14:paraId="644C3F2B">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《运维手册》、《日志报错代码表》、《批量手册》、《监控手册》、《知识库》（如有）</w:t>
            </w:r>
          </w:p>
        </w:tc>
      </w:tr>
      <w:tr w14:paraId="0B7E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restart"/>
            <w:noWrap w:val="0"/>
            <w:vAlign w:val="center"/>
          </w:tcPr>
          <w:p w14:paraId="6527F46B">
            <w:pPr>
              <w:spacing w:line="24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
              </w:rPr>
              <w:t>保修服务</w:t>
            </w:r>
          </w:p>
        </w:tc>
        <w:tc>
          <w:tcPr>
            <w:tcW w:w="4177" w:type="pct"/>
            <w:noWrap w:val="0"/>
            <w:vAlign w:val="center"/>
          </w:tcPr>
          <w:p w14:paraId="7A9B2F53">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知识转移文档：《运维手册》（含《日志存储备份清理方案》等日常运维的必要件）、《日志报错代码表》、《批量手册》、《监控手册》（如有）</w:t>
            </w:r>
          </w:p>
        </w:tc>
      </w:tr>
      <w:tr w14:paraId="2EC2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28D3C909">
            <w:pPr>
              <w:spacing w:line="240" w:lineRule="auto"/>
              <w:jc w:val="center"/>
              <w:rPr>
                <w:rFonts w:hint="eastAsia" w:ascii="仿宋_GB2312" w:hAnsi="仿宋_GB2312" w:eastAsia="仿宋_GB2312" w:cs="仿宋_GB2312"/>
                <w:color w:val="auto"/>
                <w:highlight w:val="none"/>
              </w:rPr>
            </w:pPr>
          </w:p>
        </w:tc>
        <w:tc>
          <w:tcPr>
            <w:tcW w:w="4177" w:type="pct"/>
            <w:noWrap w:val="0"/>
            <w:vAlign w:val="center"/>
          </w:tcPr>
          <w:p w14:paraId="6C2C7DC9">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知识库（包含《上线运行问题报告和问题跟踪表》、《重大问题分析报告》（如有））</w:t>
            </w:r>
          </w:p>
        </w:tc>
      </w:tr>
      <w:tr w14:paraId="3570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3044E75C">
            <w:pPr>
              <w:spacing w:line="240" w:lineRule="auto"/>
              <w:jc w:val="center"/>
              <w:rPr>
                <w:rFonts w:hint="eastAsia" w:ascii="仿宋_GB2312" w:hAnsi="仿宋_GB2312" w:eastAsia="仿宋_GB2312" w:cs="仿宋_GB2312"/>
                <w:color w:val="auto"/>
                <w:highlight w:val="none"/>
              </w:rPr>
            </w:pPr>
          </w:p>
        </w:tc>
        <w:tc>
          <w:tcPr>
            <w:tcW w:w="4177" w:type="pct"/>
            <w:noWrap w:val="0"/>
            <w:vAlign w:val="center"/>
          </w:tcPr>
          <w:p w14:paraId="02EED3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
              </w:rPr>
              <w:t>保修</w:t>
            </w:r>
            <w:r>
              <w:rPr>
                <w:rFonts w:hint="eastAsia" w:ascii="仿宋_GB2312" w:hAnsi="仿宋_GB2312" w:eastAsia="仿宋_GB2312" w:cs="仿宋_GB2312"/>
                <w:color w:val="auto"/>
                <w:highlight w:val="none"/>
              </w:rPr>
              <w:t>期</w:t>
            </w:r>
            <w:r>
              <w:rPr>
                <w:rFonts w:hint="eastAsia" w:ascii="仿宋_GB2312" w:hAnsi="仿宋_GB2312" w:eastAsia="仿宋_GB2312" w:cs="仿宋_GB2312"/>
                <w:color w:val="auto"/>
                <w:highlight w:val="none"/>
                <w:lang w:eastAsia="zh"/>
              </w:rPr>
              <w:t>工作</w:t>
            </w:r>
            <w:r>
              <w:rPr>
                <w:rFonts w:hint="eastAsia" w:ascii="仿宋_GB2312" w:hAnsi="仿宋_GB2312" w:eastAsia="仿宋_GB2312" w:cs="仿宋_GB2312"/>
                <w:color w:val="auto"/>
                <w:highlight w:val="none"/>
              </w:rPr>
              <w:t>总结报告》</w:t>
            </w:r>
          </w:p>
        </w:tc>
      </w:tr>
      <w:tr w14:paraId="54CF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pct"/>
            <w:vMerge w:val="continue"/>
            <w:noWrap w:val="0"/>
            <w:vAlign w:val="center"/>
          </w:tcPr>
          <w:p w14:paraId="48DBD154">
            <w:pPr>
              <w:spacing w:line="240" w:lineRule="auto"/>
              <w:jc w:val="center"/>
              <w:rPr>
                <w:rFonts w:hint="eastAsia" w:ascii="仿宋_GB2312" w:hAnsi="仿宋_GB2312" w:eastAsia="仿宋_GB2312" w:cs="仿宋_GB2312"/>
                <w:color w:val="auto"/>
                <w:highlight w:val="none"/>
              </w:rPr>
            </w:pPr>
          </w:p>
        </w:tc>
        <w:tc>
          <w:tcPr>
            <w:tcW w:w="4177" w:type="pct"/>
            <w:noWrap w:val="0"/>
            <w:vAlign w:val="center"/>
          </w:tcPr>
          <w:p w14:paraId="3B44E6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《月度</w:t>
            </w:r>
            <w:r>
              <w:rPr>
                <w:rFonts w:hint="eastAsia" w:ascii="仿宋_GB2312" w:hAnsi="仿宋_GB2312" w:eastAsia="仿宋_GB2312" w:cs="仿宋_GB2312"/>
                <w:color w:val="auto"/>
                <w:highlight w:val="none"/>
                <w:lang w:eastAsia="zh"/>
              </w:rPr>
              <w:t>保修情况</w:t>
            </w:r>
            <w:r>
              <w:rPr>
                <w:rFonts w:hint="eastAsia" w:ascii="仿宋_GB2312" w:hAnsi="仿宋_GB2312" w:eastAsia="仿宋_GB2312" w:cs="仿宋_GB2312"/>
                <w:color w:val="auto"/>
                <w:highlight w:val="none"/>
              </w:rPr>
              <w:t>报告》（如有）</w:t>
            </w:r>
          </w:p>
        </w:tc>
      </w:tr>
    </w:tbl>
    <w:p w14:paraId="1C5A4A42">
      <w:pPr>
        <w:keepNext/>
        <w:keepLines/>
        <w:pageBreakBefore w:val="0"/>
        <w:widowControl w:val="0"/>
        <w:kinsoku/>
        <w:wordWrap/>
        <w:overflowPunct/>
        <w:topLinePunct w:val="0"/>
        <w:autoSpaceDE/>
        <w:autoSpaceDN/>
        <w:bidi w:val="0"/>
        <w:adjustRightInd w:val="0"/>
        <w:snapToGrid/>
        <w:spacing w:before="157" w:beforeLines="50" w:after="0" w:afterLines="0" w:line="560" w:lineRule="exact"/>
        <w:ind w:firstLine="480" w:firstLineChars="200"/>
        <w:jc w:val="both"/>
        <w:textAlignment w:val="baseline"/>
        <w:outlineLvl w:val="0"/>
        <w:rPr>
          <w:rFonts w:hint="eastAsia" w:ascii="仿宋_GB2312" w:hAnsi="仿宋_GB2312" w:eastAsia="仿宋_GB2312" w:cs="仿宋_GB2312"/>
          <w:b w:val="0"/>
          <w:bCs w:val="0"/>
          <w:color w:val="auto"/>
          <w:kern w:val="2"/>
          <w:sz w:val="24"/>
          <w:szCs w:val="24"/>
          <w:highlight w:val="none"/>
          <w:lang w:val="en-US" w:eastAsia="zh-CN" w:bidi="ar-SA"/>
        </w:rPr>
      </w:pPr>
      <w:bookmarkStart w:id="31" w:name="_Toc32295"/>
      <w:r>
        <w:rPr>
          <w:rFonts w:hint="eastAsia" w:ascii="黑体" w:hAnsi="黑体" w:eastAsia="黑体" w:cs="黑体"/>
          <w:b w:val="0"/>
          <w:bCs w:val="0"/>
          <w:color w:val="auto"/>
          <w:kern w:val="2"/>
          <w:sz w:val="24"/>
          <w:szCs w:val="24"/>
          <w:highlight w:val="none"/>
          <w:lang w:val="en-US" w:eastAsia="zh-CN" w:bidi="ar-SA"/>
        </w:rPr>
        <w:fldChar w:fldCharType="begin"/>
      </w:r>
      <w:r>
        <w:rPr>
          <w:rFonts w:hint="eastAsia" w:ascii="黑体" w:hAnsi="黑体" w:eastAsia="黑体" w:cs="黑体"/>
          <w:b w:val="0"/>
          <w:bCs w:val="0"/>
          <w:color w:val="auto"/>
          <w:kern w:val="2"/>
          <w:sz w:val="24"/>
          <w:szCs w:val="24"/>
          <w:highlight w:val="none"/>
          <w:lang w:val="en-US" w:eastAsia="zh-CN" w:bidi="ar-SA"/>
        </w:rPr>
        <w:instrText xml:space="preserve"> HYPERLINK \l _Toc29694 </w:instrText>
      </w:r>
      <w:r>
        <w:rPr>
          <w:rFonts w:hint="eastAsia" w:ascii="黑体" w:hAnsi="黑体" w:eastAsia="黑体" w:cs="黑体"/>
          <w:b w:val="0"/>
          <w:bCs w:val="0"/>
          <w:color w:val="auto"/>
          <w:kern w:val="2"/>
          <w:sz w:val="24"/>
          <w:szCs w:val="24"/>
          <w:highlight w:val="none"/>
          <w:lang w:val="en-US" w:eastAsia="zh-CN" w:bidi="ar-SA"/>
        </w:rPr>
        <w:fldChar w:fldCharType="separate"/>
      </w:r>
      <w:r>
        <w:rPr>
          <w:rFonts w:hint="eastAsia" w:ascii="黑体" w:hAnsi="黑体" w:eastAsia="黑体" w:cs="黑体"/>
          <w:b w:val="0"/>
          <w:bCs w:val="0"/>
          <w:color w:val="auto"/>
          <w:kern w:val="2"/>
          <w:sz w:val="24"/>
          <w:szCs w:val="24"/>
          <w:highlight w:val="none"/>
          <w:lang w:val="en-US" w:eastAsia="zh-CN" w:bidi="ar-SA"/>
        </w:rPr>
        <w:t>六、项目团队要求</w:t>
      </w:r>
      <w:r>
        <w:rPr>
          <w:rFonts w:hint="eastAsia" w:ascii="黑体" w:hAnsi="黑体" w:eastAsia="黑体" w:cs="黑体"/>
          <w:b w:val="0"/>
          <w:bCs w:val="0"/>
          <w:color w:val="auto"/>
          <w:kern w:val="2"/>
          <w:sz w:val="24"/>
          <w:szCs w:val="24"/>
          <w:highlight w:val="none"/>
          <w:lang w:val="en-US" w:eastAsia="zh-CN" w:bidi="ar-SA"/>
        </w:rPr>
        <w:fldChar w:fldCharType="end"/>
      </w:r>
      <w:bookmarkEnd w:id="30"/>
      <w:bookmarkEnd w:id="31"/>
    </w:p>
    <w:p w14:paraId="5C52A013">
      <w:pPr>
        <w:keepLines w:val="0"/>
        <w:pageBreakBefore w:val="0"/>
        <w:widowControl w:val="0"/>
        <w:numPr>
          <w:ilvl w:val="0"/>
          <w:numId w:val="0"/>
        </w:numPr>
        <w:kinsoku/>
        <w:overflowPunct/>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熟悉采购人联合开发系统实施现状，具有同类项目系统相关实施经验；具备完成服务范围内各项工作的能力；团队中关键核心岗位人员（如项目经理等）不得外包。</w:t>
      </w:r>
    </w:p>
    <w:p w14:paraId="0F02558A">
      <w:pPr>
        <w:spacing w:line="560" w:lineRule="exact"/>
        <w:ind w:firstLine="480" w:firstLineChars="20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1.项目经理、关键技术人员应具有服务同类项目的工作经验，提供</w:t>
      </w:r>
      <w:r>
        <w:rPr>
          <w:rFonts w:hint="eastAsia" w:ascii="仿宋_GB2312" w:hAnsi="仿宋_GB2312" w:eastAsia="仿宋_GB2312" w:cs="仿宋_GB2312"/>
          <w:color w:val="auto"/>
          <w:sz w:val="24"/>
          <w:szCs w:val="24"/>
          <w:highlight w:val="none"/>
        </w:rPr>
        <w:t>人员简历</w:t>
      </w:r>
      <w:r>
        <w:rPr>
          <w:rFonts w:hint="eastAsia" w:ascii="仿宋_GB2312" w:hAnsi="仿宋_GB2312" w:eastAsia="仿宋_GB2312" w:cs="仿宋_GB2312"/>
          <w:color w:val="auto"/>
          <w:sz w:val="24"/>
          <w:szCs w:val="24"/>
          <w:highlight w:val="none"/>
          <w:lang w:val="en-US" w:eastAsia="zh-CN"/>
        </w:rPr>
        <w:t>。如发生更换，对替代人员的工作经验要求相同。</w:t>
      </w:r>
    </w:p>
    <w:p w14:paraId="69BEFBB8">
      <w:pPr>
        <w:pageBreakBefore w:val="0"/>
        <w:kinsoku/>
        <w:overflowPunct/>
        <w:topLinePunct w:val="0"/>
        <w:autoSpaceDE/>
        <w:autoSpaceDN/>
        <w:bidi w:val="0"/>
        <w:snapToGrid/>
        <w:spacing w:line="560" w:lineRule="exact"/>
        <w:ind w:firstLine="480" w:firstLineChars="20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承诺已进入项目组的</w:t>
      </w:r>
      <w:r>
        <w:rPr>
          <w:rFonts w:hint="eastAsia" w:ascii="仿宋_GB2312" w:hAnsi="仿宋_GB2312" w:eastAsia="仿宋_GB2312" w:cs="仿宋_GB2312"/>
          <w:color w:val="auto"/>
          <w:sz w:val="24"/>
          <w:szCs w:val="24"/>
          <w:highlight w:val="none"/>
          <w:lang w:val="en-US" w:eastAsia="zh-CN"/>
        </w:rPr>
        <w:t>关键核心岗位</w:t>
      </w:r>
      <w:r>
        <w:rPr>
          <w:rFonts w:hint="eastAsia" w:ascii="仿宋_GB2312" w:hAnsi="仿宋_GB2312" w:eastAsia="仿宋_GB2312" w:cs="仿宋_GB2312"/>
          <w:color w:val="auto"/>
          <w:sz w:val="24"/>
          <w:szCs w:val="24"/>
          <w:highlight w:val="none"/>
        </w:rPr>
        <w:t>人员不得随意更换。如确实需要更换人员须经过</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审核通过后方可换人。同时要求新换人员必须通过</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的审核，且由</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保证人员更换期间工作的连续性。</w:t>
      </w:r>
      <w:r>
        <w:rPr>
          <w:rFonts w:hint="eastAsia" w:ascii="仿宋_GB2312" w:hAnsi="仿宋_GB2312" w:eastAsia="仿宋_GB2312" w:cs="仿宋_GB2312"/>
          <w:color w:val="auto"/>
          <w:sz w:val="24"/>
          <w:szCs w:val="24"/>
          <w:highlight w:val="none"/>
          <w:lang w:val="en-US" w:eastAsia="zh-CN"/>
        </w:rPr>
        <w:t>其他岗位人员如有更换需书面告知采购人，并承诺不因此降低服务质量。</w:t>
      </w:r>
    </w:p>
    <w:p w14:paraId="4CA5BEFA">
      <w:pPr>
        <w:pageBreakBefore w:val="0"/>
        <w:kinsoku/>
        <w:overflowPunct/>
        <w:topLinePunct w:val="0"/>
        <w:autoSpaceDE/>
        <w:autoSpaceDN/>
        <w:bidi w:val="0"/>
        <w:snapToGrid/>
        <w:spacing w:line="560" w:lineRule="exact"/>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承诺已进入</w:t>
      </w:r>
      <w:r>
        <w:rPr>
          <w:rFonts w:hint="eastAsia" w:ascii="仿宋_GB2312" w:hAnsi="仿宋_GB2312" w:eastAsia="仿宋_GB2312" w:cs="仿宋_GB2312"/>
          <w:color w:val="auto"/>
          <w:sz w:val="24"/>
          <w:szCs w:val="24"/>
          <w:highlight w:val="none"/>
          <w:lang w:val="en-US" w:eastAsia="zh-CN"/>
        </w:rPr>
        <w:t>现场服务</w:t>
      </w:r>
      <w:r>
        <w:rPr>
          <w:rFonts w:hint="eastAsia" w:ascii="仿宋_GB2312" w:hAnsi="仿宋_GB2312" w:eastAsia="仿宋_GB2312" w:cs="仿宋_GB2312"/>
          <w:color w:val="auto"/>
          <w:sz w:val="24"/>
          <w:szCs w:val="24"/>
          <w:highlight w:val="none"/>
        </w:rPr>
        <w:t>人员</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要提供人员简历、学历证明复印件及人员相关认证资质复印件，</w:t>
      </w:r>
      <w:r>
        <w:rPr>
          <w:rFonts w:hint="eastAsia" w:ascii="仿宋_GB2312" w:hAnsi="仿宋_GB2312" w:eastAsia="仿宋_GB2312" w:cs="仿宋_GB2312"/>
          <w:color w:val="auto"/>
          <w:sz w:val="24"/>
          <w:szCs w:val="24"/>
          <w:highlight w:val="none"/>
        </w:rPr>
        <w:t>签署安全保密承诺书</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并满足采购人</w:t>
      </w:r>
      <w:r>
        <w:rPr>
          <w:rFonts w:hint="eastAsia" w:ascii="仿宋_GB2312" w:hAnsi="仿宋_GB2312" w:eastAsia="仿宋_GB2312" w:cs="仿宋_GB2312"/>
          <w:color w:val="auto"/>
          <w:sz w:val="24"/>
          <w:szCs w:val="24"/>
          <w:highlight w:val="none"/>
        </w:rPr>
        <w:t>管理</w:t>
      </w:r>
      <w:r>
        <w:rPr>
          <w:rFonts w:hint="eastAsia" w:ascii="仿宋_GB2312" w:hAnsi="仿宋_GB2312" w:eastAsia="仿宋_GB2312" w:cs="仿宋_GB2312"/>
          <w:color w:val="auto"/>
          <w:sz w:val="24"/>
          <w:szCs w:val="24"/>
          <w:highlight w:val="none"/>
          <w:lang w:val="en-US" w:eastAsia="zh-CN"/>
        </w:rPr>
        <w:t>要求：</w:t>
      </w:r>
    </w:p>
    <w:p w14:paraId="38375705">
      <w:pPr>
        <w:pageBreakBefore w:val="0"/>
        <w:kinsoku/>
        <w:overflowPunct/>
        <w:topLinePunct w:val="0"/>
        <w:autoSpaceDE/>
        <w:autoSpaceDN/>
        <w:bidi w:val="0"/>
        <w:snapToGrid/>
        <w:spacing w:line="560" w:lineRule="exact"/>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（1）所有服务人员必须遵守</w:t>
      </w:r>
      <w:r>
        <w:rPr>
          <w:rFonts w:hint="eastAsia" w:ascii="仿宋_GB2312" w:hAnsi="仿宋_GB2312" w:eastAsia="仿宋_GB2312" w:cs="仿宋_GB2312"/>
          <w:color w:val="auto"/>
          <w:sz w:val="24"/>
          <w:szCs w:val="24"/>
          <w:highlight w:val="none"/>
          <w:lang w:val="en-US" w:eastAsia="zh-CN"/>
        </w:rPr>
        <w:t>采购人</w:t>
      </w:r>
      <w:r>
        <w:rPr>
          <w:rFonts w:hint="eastAsia" w:ascii="仿宋_GB2312" w:hAnsi="仿宋_GB2312" w:eastAsia="仿宋_GB2312" w:cs="仿宋_GB2312"/>
          <w:color w:val="auto"/>
          <w:sz w:val="24"/>
          <w:szCs w:val="24"/>
          <w:highlight w:val="none"/>
        </w:rPr>
        <w:t>作息制度和相关工作制度规定，提供5*8小时驻场服务。</w:t>
      </w:r>
    </w:p>
    <w:p w14:paraId="2D141D0E">
      <w:pPr>
        <w:pageBreakBefore w:val="0"/>
        <w:kinsoku/>
        <w:overflowPunct/>
        <w:topLinePunct w:val="0"/>
        <w:autoSpaceDE/>
        <w:autoSpaceDN/>
        <w:bidi w:val="0"/>
        <w:snapToGrid/>
        <w:spacing w:line="560" w:lineRule="exact"/>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（2）服务期间，所有服务人员必须严格按照</w:t>
      </w:r>
      <w:r>
        <w:rPr>
          <w:rFonts w:hint="eastAsia" w:ascii="仿宋_GB2312" w:hAnsi="仿宋_GB2312" w:eastAsia="仿宋_GB2312" w:cs="仿宋_GB2312"/>
          <w:color w:val="auto"/>
          <w:sz w:val="24"/>
          <w:szCs w:val="24"/>
          <w:highlight w:val="none"/>
          <w:lang w:val="en-US" w:eastAsia="zh-CN"/>
        </w:rPr>
        <w:t>采购人</w:t>
      </w:r>
      <w:r>
        <w:rPr>
          <w:rFonts w:hint="eastAsia" w:ascii="仿宋_GB2312" w:hAnsi="仿宋_GB2312" w:eastAsia="仿宋_GB2312" w:cs="仿宋_GB2312"/>
          <w:color w:val="auto"/>
          <w:sz w:val="24"/>
          <w:szCs w:val="24"/>
          <w:highlight w:val="none"/>
        </w:rPr>
        <w:t>各项规章制度合规开展工作；驻场服务地点为</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指定地点。</w:t>
      </w:r>
    </w:p>
    <w:p w14:paraId="38FA931F">
      <w:pPr>
        <w:pageBreakBefore w:val="0"/>
        <w:kinsoku/>
        <w:overflowPunct/>
        <w:topLinePunct w:val="0"/>
        <w:autoSpaceDE/>
        <w:autoSpaceDN/>
        <w:bidi w:val="0"/>
        <w:snapToGrid/>
        <w:spacing w:line="560" w:lineRule="exact"/>
        <w:ind w:firstLine="480" w:firstLineChars="20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（3）任何人员不得随意更换。如果更换人员则</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应提前</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个月通知</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，并经过</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审核通过后方可换人。同时要求新换人员必须通过</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的审核，且由</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保证人员更换期间支持工作的连续性</w:t>
      </w:r>
      <w:r>
        <w:rPr>
          <w:rFonts w:hint="eastAsia" w:ascii="仿宋_GB2312" w:hAnsi="仿宋_GB2312" w:eastAsia="仿宋_GB2312" w:cs="仿宋_GB2312"/>
          <w:color w:val="auto"/>
          <w:sz w:val="24"/>
          <w:szCs w:val="24"/>
          <w:highlight w:val="none"/>
          <w:lang w:eastAsia="zh-CN"/>
        </w:rPr>
        <w:t>。</w:t>
      </w:r>
    </w:p>
    <w:p w14:paraId="5D66B7BA">
      <w:pPr>
        <w:pageBreakBefore w:val="0"/>
        <w:kinsoku/>
        <w:overflowPunct/>
        <w:topLinePunct w:val="0"/>
        <w:autoSpaceDE/>
        <w:autoSpaceDN/>
        <w:bidi w:val="0"/>
        <w:snapToGrid/>
        <w:spacing w:line="560" w:lineRule="exact"/>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（4）如果</w:t>
      </w:r>
      <w:r>
        <w:rPr>
          <w:rFonts w:hint="eastAsia" w:ascii="仿宋_GB2312" w:hAnsi="仿宋_GB2312" w:eastAsia="仿宋_GB2312" w:cs="仿宋_GB2312"/>
          <w:color w:val="auto"/>
          <w:sz w:val="24"/>
          <w:szCs w:val="24"/>
          <w:highlight w:val="none"/>
          <w:lang w:val="en-US" w:eastAsia="zh-CN"/>
        </w:rPr>
        <w:t>服务</w:t>
      </w:r>
      <w:r>
        <w:rPr>
          <w:rFonts w:hint="eastAsia" w:ascii="仿宋_GB2312" w:hAnsi="仿宋_GB2312" w:eastAsia="仿宋_GB2312" w:cs="仿宋_GB2312"/>
          <w:color w:val="auto"/>
          <w:sz w:val="24"/>
          <w:szCs w:val="24"/>
          <w:highlight w:val="none"/>
        </w:rPr>
        <w:t>人员因违反</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工作纪律或相关运行制度，并给</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造成了损失，则</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有责任进行赔偿，具体赔偿标准见合同。</w:t>
      </w:r>
    </w:p>
    <w:p w14:paraId="76F6F41B">
      <w:pPr>
        <w:pageBreakBefore w:val="0"/>
        <w:kinsoku/>
        <w:overflowPunct/>
        <w:topLinePunct w:val="0"/>
        <w:autoSpaceDE/>
        <w:autoSpaceDN/>
        <w:bidi w:val="0"/>
        <w:snapToGrid/>
        <w:spacing w:line="560" w:lineRule="exact"/>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（5）根据支持效果，对于不能够胜任工作的人员，</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有权利要求</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重新进行调换。同时</w:t>
      </w:r>
      <w:r>
        <w:rPr>
          <w:rFonts w:hint="eastAsia" w:ascii="仿宋_GB2312" w:hAnsi="仿宋_GB2312" w:eastAsia="仿宋_GB2312" w:cs="仿宋_GB2312"/>
          <w:color w:val="auto"/>
          <w:sz w:val="24"/>
          <w:szCs w:val="24"/>
          <w:highlight w:val="none"/>
          <w:lang w:val="en-US" w:eastAsia="zh-CN"/>
        </w:rPr>
        <w:t>由供应商</w:t>
      </w:r>
      <w:r>
        <w:rPr>
          <w:rFonts w:hint="eastAsia" w:ascii="仿宋_GB2312" w:hAnsi="仿宋_GB2312" w:eastAsia="仿宋_GB2312" w:cs="仿宋_GB2312"/>
          <w:color w:val="auto"/>
          <w:sz w:val="24"/>
          <w:szCs w:val="24"/>
          <w:highlight w:val="none"/>
        </w:rPr>
        <w:t>保证人员更换期间支持工作的连续性。</w:t>
      </w:r>
    </w:p>
    <w:p w14:paraId="679053A7">
      <w:pPr>
        <w:pageBreakBefore w:val="0"/>
        <w:kinsoku/>
        <w:overflowPunct/>
        <w:topLinePunct w:val="0"/>
        <w:autoSpaceDE/>
        <w:autoSpaceDN/>
        <w:bidi w:val="0"/>
        <w:snapToGrid/>
        <w:spacing w:line="560" w:lineRule="exact"/>
        <w:ind w:firstLine="480" w:firstLineChars="20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承诺</w:t>
      </w:r>
      <w:r>
        <w:rPr>
          <w:rFonts w:hint="eastAsia" w:ascii="仿宋_GB2312" w:hAnsi="仿宋_GB2312" w:eastAsia="仿宋_GB2312" w:cs="仿宋_GB2312"/>
          <w:color w:val="auto"/>
          <w:sz w:val="24"/>
          <w:szCs w:val="24"/>
          <w:highlight w:val="none"/>
          <w:lang w:val="en-US" w:eastAsia="zh-CN"/>
        </w:rPr>
        <w:t>涉及项目的非现场服务</w:t>
      </w:r>
      <w:r>
        <w:rPr>
          <w:rFonts w:hint="eastAsia" w:ascii="仿宋_GB2312" w:hAnsi="仿宋_GB2312" w:eastAsia="仿宋_GB2312" w:cs="仿宋_GB2312"/>
          <w:color w:val="auto"/>
          <w:sz w:val="24"/>
          <w:szCs w:val="24"/>
          <w:highlight w:val="none"/>
        </w:rPr>
        <w:t>人员</w:t>
      </w:r>
      <w:r>
        <w:rPr>
          <w:rFonts w:hint="eastAsia" w:ascii="仿宋_GB2312" w:hAnsi="仿宋_GB2312" w:eastAsia="仿宋_GB2312" w:cs="仿宋_GB2312"/>
          <w:color w:val="auto"/>
          <w:sz w:val="24"/>
          <w:szCs w:val="24"/>
          <w:highlight w:val="none"/>
          <w:lang w:val="en-US" w:eastAsia="zh-CN"/>
        </w:rPr>
        <w:t>严格遵守采购人项目外包相关管理规定，并由供应商加强管理。</w:t>
      </w:r>
    </w:p>
    <w:p w14:paraId="46B42F57">
      <w:pPr>
        <w:keepNext/>
        <w:keepLines/>
        <w:pageBreakBefore w:val="0"/>
        <w:widowControl w:val="0"/>
        <w:kinsoku/>
        <w:wordWrap/>
        <w:overflowPunct/>
        <w:topLinePunct w:val="0"/>
        <w:autoSpaceDE/>
        <w:autoSpaceDN/>
        <w:bidi w:val="0"/>
        <w:adjustRightInd w:val="0"/>
        <w:snapToGrid/>
        <w:spacing w:before="0" w:beforeLines="0" w:after="0" w:afterLines="0" w:line="560" w:lineRule="exact"/>
        <w:ind w:firstLine="480" w:firstLineChars="200"/>
        <w:jc w:val="both"/>
        <w:textAlignment w:val="baseline"/>
        <w:outlineLvl w:val="0"/>
        <w:rPr>
          <w:rFonts w:hint="eastAsia" w:ascii="仿宋_GB2312" w:hAnsi="仿宋_GB2312" w:eastAsia="仿宋_GB2312" w:cs="仿宋_GB2312"/>
          <w:b w:val="0"/>
          <w:bCs w:val="0"/>
          <w:color w:val="auto"/>
          <w:kern w:val="2"/>
          <w:sz w:val="24"/>
          <w:szCs w:val="24"/>
          <w:highlight w:val="none"/>
          <w:lang w:val="en-US" w:eastAsia="zh-CN" w:bidi="ar-SA"/>
        </w:rPr>
      </w:pPr>
      <w:bookmarkStart w:id="32" w:name="_Toc24935"/>
      <w:bookmarkStart w:id="33" w:name="_Toc9234"/>
      <w:bookmarkStart w:id="34" w:name="_Toc1526"/>
      <w:r>
        <w:rPr>
          <w:rFonts w:hint="eastAsia" w:ascii="黑体" w:hAnsi="黑体" w:eastAsia="黑体" w:cs="黑体"/>
          <w:b w:val="0"/>
          <w:bCs w:val="0"/>
          <w:color w:val="auto"/>
          <w:kern w:val="2"/>
          <w:sz w:val="24"/>
          <w:szCs w:val="24"/>
          <w:highlight w:val="none"/>
          <w:lang w:val="en-US" w:eastAsia="zh-CN" w:bidi="ar-SA"/>
        </w:rPr>
        <w:t>七、安全要求</w:t>
      </w:r>
      <w:bookmarkEnd w:id="32"/>
      <w:bookmarkEnd w:id="33"/>
      <w:bookmarkEnd w:id="34"/>
    </w:p>
    <w:p w14:paraId="0DE710DA">
      <w:pPr>
        <w:pageBreakBefore w:val="0"/>
        <w:kinsoku/>
        <w:overflowPunct/>
        <w:topLinePunct w:val="0"/>
        <w:autoSpaceDE/>
        <w:autoSpaceDN/>
        <w:bidi w:val="0"/>
        <w:adjustRightInd w:val="0"/>
        <w:snapToGrid/>
        <w:spacing w:beforeLines="0" w:afterLines="0"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在未征得</w:t>
      </w:r>
      <w:r>
        <w:rPr>
          <w:rFonts w:hint="eastAsia" w:ascii="仿宋_GB2312" w:hAnsi="仿宋_GB2312" w:eastAsia="仿宋_GB2312" w:cs="仿宋_GB2312"/>
          <w:color w:val="auto"/>
          <w:sz w:val="24"/>
          <w:szCs w:val="24"/>
          <w:highlight w:val="none"/>
          <w:lang w:val="en-US" w:eastAsia="zh-CN"/>
        </w:rPr>
        <w:t>采购人</w:t>
      </w:r>
      <w:r>
        <w:rPr>
          <w:rFonts w:hint="eastAsia" w:ascii="仿宋_GB2312" w:hAnsi="仿宋_GB2312" w:eastAsia="仿宋_GB2312" w:cs="仿宋_GB2312"/>
          <w:color w:val="auto"/>
          <w:sz w:val="24"/>
          <w:szCs w:val="24"/>
          <w:highlight w:val="none"/>
        </w:rPr>
        <w:t>同意的情况下，供应商必须保证所提供的人员能够严格遵守各项规章制度，主要包括但不限于以下内容：</w:t>
      </w:r>
    </w:p>
    <w:p w14:paraId="611D04FA">
      <w:pPr>
        <w:pageBreakBefore w:val="0"/>
        <w:kinsoku/>
        <w:overflowPunct/>
        <w:topLinePunct w:val="0"/>
        <w:autoSpaceDE/>
        <w:autoSpaceDN/>
        <w:bidi w:val="0"/>
        <w:adjustRightInd w:val="0"/>
        <w:snapToGrid/>
        <w:spacing w:beforeLines="0" w:afterLines="0"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一</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法律合规方面，应有效规避实施过程中给</w:t>
      </w:r>
      <w:r>
        <w:rPr>
          <w:rFonts w:hint="eastAsia" w:ascii="仿宋_GB2312" w:hAnsi="仿宋_GB2312" w:eastAsia="仿宋_GB2312" w:cs="仿宋_GB2312"/>
          <w:color w:val="auto"/>
          <w:sz w:val="24"/>
          <w:szCs w:val="24"/>
          <w:highlight w:val="none"/>
          <w:lang w:val="en-US" w:eastAsia="zh-CN"/>
        </w:rPr>
        <w:t>采购人</w:t>
      </w:r>
      <w:r>
        <w:rPr>
          <w:rFonts w:hint="eastAsia" w:ascii="仿宋_GB2312" w:hAnsi="仿宋_GB2312" w:eastAsia="仿宋_GB2312" w:cs="仿宋_GB2312"/>
          <w:color w:val="auto"/>
          <w:sz w:val="24"/>
          <w:szCs w:val="24"/>
          <w:highlight w:val="none"/>
        </w:rPr>
        <w:t>带来的法律风险。</w:t>
      </w:r>
    </w:p>
    <w:p w14:paraId="06E843FE">
      <w:pPr>
        <w:pageBreakBefore w:val="0"/>
        <w:kinsoku/>
        <w:overflowPunct/>
        <w:topLinePunct w:val="0"/>
        <w:autoSpaceDE/>
        <w:autoSpaceDN/>
        <w:bidi w:val="0"/>
        <w:adjustRightInd w:val="0"/>
        <w:snapToGrid/>
        <w:spacing w:beforeLines="0" w:afterLines="0"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二</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信息</w:t>
      </w:r>
      <w:r>
        <w:rPr>
          <w:rFonts w:hint="eastAsia" w:ascii="仿宋_GB2312" w:hAnsi="仿宋_GB2312" w:eastAsia="仿宋_GB2312" w:cs="仿宋_GB2312"/>
          <w:color w:val="auto"/>
          <w:sz w:val="24"/>
          <w:szCs w:val="24"/>
          <w:highlight w:val="none"/>
          <w:lang w:val="en-US" w:eastAsia="zh-CN"/>
        </w:rPr>
        <w:t>安全</w:t>
      </w:r>
      <w:r>
        <w:rPr>
          <w:rFonts w:hint="eastAsia" w:ascii="仿宋_GB2312" w:hAnsi="仿宋_GB2312" w:eastAsia="仿宋_GB2312" w:cs="仿宋_GB2312"/>
          <w:color w:val="auto"/>
          <w:sz w:val="24"/>
          <w:szCs w:val="24"/>
          <w:highlight w:val="none"/>
        </w:rPr>
        <w:t>方面，应有效规避因服务人员导致的银行信息（如业务数据和商务信息等）泄漏风险。</w:t>
      </w:r>
    </w:p>
    <w:p w14:paraId="4470BCB8">
      <w:pPr>
        <w:pageBreakBefore w:val="0"/>
        <w:kinsoku/>
        <w:overflowPunct/>
        <w:topLinePunct w:val="0"/>
        <w:autoSpaceDE/>
        <w:autoSpaceDN/>
        <w:bidi w:val="0"/>
        <w:adjustRightInd w:val="0"/>
        <w:snapToGrid/>
        <w:spacing w:beforeLines="0" w:afterLines="0"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三</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生产安全方面，应严格规避因人员操作不当，导致的银行系统出现安全性和稳定性风险事件。</w:t>
      </w:r>
    </w:p>
    <w:p w14:paraId="43BA7255">
      <w:pPr>
        <w:pageBreakBefore w:val="0"/>
        <w:kinsoku/>
        <w:overflowPunct/>
        <w:topLinePunct w:val="0"/>
        <w:autoSpaceDE/>
        <w:autoSpaceDN/>
        <w:bidi w:val="0"/>
        <w:adjustRightInd w:val="0"/>
        <w:snapToGrid/>
        <w:spacing w:beforeLines="0" w:afterLines="0"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四</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安全审计方面，应确保针对银行设备的相关操作留有纸质或视频记录。</w:t>
      </w:r>
    </w:p>
    <w:p w14:paraId="28B001F8">
      <w:pPr>
        <w:pageBreakBefore w:val="0"/>
        <w:kinsoku/>
        <w:overflowPunct/>
        <w:topLinePunct w:val="0"/>
        <w:autoSpaceDE/>
        <w:autoSpaceDN/>
        <w:bidi w:val="0"/>
        <w:adjustRightInd w:val="0"/>
        <w:snapToGrid/>
        <w:spacing w:beforeLines="0" w:afterLines="0"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五</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保密</w:t>
      </w:r>
      <w:r>
        <w:rPr>
          <w:rFonts w:hint="eastAsia" w:ascii="仿宋_GB2312" w:hAnsi="仿宋_GB2312" w:eastAsia="仿宋_GB2312" w:cs="仿宋_GB2312"/>
          <w:b w:val="0"/>
          <w:bCs w:val="0"/>
          <w:color w:val="auto"/>
          <w:sz w:val="24"/>
          <w:szCs w:val="24"/>
          <w:highlight w:val="none"/>
          <w:lang w:val="en-US" w:eastAsia="zh-CN"/>
        </w:rPr>
        <w:t>要求方面，</w:t>
      </w:r>
      <w:r>
        <w:rPr>
          <w:rFonts w:hint="eastAsia" w:ascii="仿宋_GB2312" w:hAnsi="仿宋_GB2312" w:eastAsia="仿宋_GB2312" w:cs="仿宋_GB2312"/>
          <w:color w:val="auto"/>
          <w:sz w:val="24"/>
          <w:szCs w:val="24"/>
          <w:highlight w:val="none"/>
        </w:rPr>
        <w:t>供应商对项目实施中涉及到的相关数据、资料、文档等具有保密的义务，并应按照相应保密规定执行。本项目所形成的数据成果归</w:t>
      </w:r>
      <w:r>
        <w:rPr>
          <w:rFonts w:hint="eastAsia" w:ascii="仿宋_GB2312" w:hAnsi="仿宋_GB2312" w:eastAsia="仿宋_GB2312" w:cs="仿宋_GB2312"/>
          <w:color w:val="auto"/>
          <w:sz w:val="24"/>
          <w:szCs w:val="24"/>
          <w:highlight w:val="none"/>
          <w:lang w:val="en-US" w:eastAsia="zh-CN"/>
        </w:rPr>
        <w:t>采购人</w:t>
      </w:r>
      <w:r>
        <w:rPr>
          <w:rFonts w:hint="eastAsia" w:ascii="仿宋_GB2312" w:hAnsi="仿宋_GB2312" w:eastAsia="仿宋_GB2312" w:cs="仿宋_GB2312"/>
          <w:color w:val="auto"/>
          <w:sz w:val="24"/>
          <w:szCs w:val="24"/>
          <w:highlight w:val="none"/>
        </w:rPr>
        <w:t>所有。未经</w:t>
      </w:r>
      <w:r>
        <w:rPr>
          <w:rFonts w:hint="eastAsia" w:ascii="仿宋_GB2312" w:hAnsi="仿宋_GB2312" w:eastAsia="仿宋_GB2312" w:cs="仿宋_GB2312"/>
          <w:color w:val="auto"/>
          <w:sz w:val="24"/>
          <w:szCs w:val="24"/>
          <w:highlight w:val="none"/>
          <w:lang w:val="en-US" w:eastAsia="zh-CN"/>
        </w:rPr>
        <w:t>采购人</w:t>
      </w:r>
      <w:r>
        <w:rPr>
          <w:rFonts w:hint="eastAsia" w:ascii="仿宋_GB2312" w:hAnsi="仿宋_GB2312" w:eastAsia="仿宋_GB2312" w:cs="仿宋_GB2312"/>
          <w:color w:val="auto"/>
          <w:sz w:val="24"/>
          <w:szCs w:val="24"/>
          <w:highlight w:val="none"/>
        </w:rPr>
        <w:t>同意，供应商不得向第三方泄露、公开或用于提供法律服务之外的其他目的</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对掌握的</w:t>
      </w:r>
      <w:r>
        <w:rPr>
          <w:rFonts w:hint="eastAsia" w:ascii="仿宋_GB2312" w:hAnsi="仿宋_GB2312" w:eastAsia="仿宋_GB2312" w:cs="仿宋_GB2312"/>
          <w:color w:val="auto"/>
          <w:sz w:val="24"/>
          <w:szCs w:val="24"/>
          <w:highlight w:val="none"/>
          <w:lang w:val="en-US" w:eastAsia="zh-CN"/>
        </w:rPr>
        <w:t>采购人</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采购人</w:t>
      </w:r>
      <w:r>
        <w:rPr>
          <w:rFonts w:hint="eastAsia" w:ascii="仿宋_GB2312" w:hAnsi="仿宋_GB2312" w:eastAsia="仿宋_GB2312" w:cs="仿宋_GB2312"/>
          <w:color w:val="auto"/>
          <w:sz w:val="24"/>
          <w:szCs w:val="24"/>
          <w:highlight w:val="none"/>
        </w:rPr>
        <w:t>客户的资料，</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应采取措施与其他客户资料施行有效隔离。</w:t>
      </w:r>
    </w:p>
    <w:p w14:paraId="09264AB7">
      <w:pPr>
        <w:keepNext/>
        <w:keepLines/>
        <w:pageBreakBefore w:val="0"/>
        <w:widowControl w:val="0"/>
        <w:kinsoku/>
        <w:wordWrap/>
        <w:overflowPunct/>
        <w:topLinePunct w:val="0"/>
        <w:autoSpaceDE/>
        <w:autoSpaceDN/>
        <w:bidi w:val="0"/>
        <w:adjustRightInd w:val="0"/>
        <w:snapToGrid/>
        <w:spacing w:before="157" w:beforeLines="50" w:after="0" w:afterLines="0" w:line="560" w:lineRule="exact"/>
        <w:ind w:firstLine="480" w:firstLineChars="200"/>
        <w:jc w:val="both"/>
        <w:textAlignment w:val="baseline"/>
        <w:outlineLvl w:val="0"/>
        <w:rPr>
          <w:rFonts w:hint="eastAsia" w:ascii="仿宋_GB2312" w:hAnsi="仿宋_GB2312" w:eastAsia="仿宋_GB2312" w:cs="仿宋_GB2312"/>
          <w:b w:val="0"/>
          <w:bCs w:val="0"/>
          <w:color w:val="auto"/>
          <w:kern w:val="2"/>
          <w:sz w:val="24"/>
          <w:szCs w:val="24"/>
          <w:highlight w:val="none"/>
          <w:lang w:val="en-US" w:eastAsia="zh-CN" w:bidi="ar-SA"/>
        </w:rPr>
      </w:pPr>
      <w:bookmarkStart w:id="35" w:name="_Toc31027"/>
      <w:bookmarkStart w:id="36" w:name="_Toc11020"/>
      <w:bookmarkStart w:id="37" w:name="_Toc21831"/>
      <w:r>
        <w:rPr>
          <w:rFonts w:hint="eastAsia" w:ascii="黑体" w:hAnsi="黑体" w:eastAsia="黑体" w:cs="黑体"/>
          <w:b w:val="0"/>
          <w:bCs w:val="0"/>
          <w:color w:val="auto"/>
          <w:kern w:val="2"/>
          <w:sz w:val="24"/>
          <w:szCs w:val="24"/>
          <w:highlight w:val="none"/>
          <w:lang w:val="en-US" w:eastAsia="zh-CN" w:bidi="ar-SA"/>
        </w:rPr>
        <w:t>八、交付或实施时间、地点</w:t>
      </w:r>
      <w:bookmarkEnd w:id="35"/>
      <w:bookmarkEnd w:id="36"/>
      <w:bookmarkEnd w:id="37"/>
    </w:p>
    <w:p w14:paraId="40FBDA61">
      <w:pPr>
        <w:pageBreakBefore w:val="0"/>
        <w:kinsoku/>
        <w:overflowPunct/>
        <w:topLinePunct w:val="0"/>
        <w:autoSpaceDE/>
        <w:autoSpaceDN/>
        <w:bidi w:val="0"/>
        <w:adjustRightInd w:val="0"/>
        <w:snapToGrid/>
        <w:spacing w:beforeLines="0" w:afterLines="0"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（一）</w:t>
      </w:r>
      <w:r>
        <w:rPr>
          <w:rFonts w:hint="eastAsia" w:ascii="仿宋_GB2312" w:hAnsi="仿宋_GB2312" w:eastAsia="仿宋_GB2312" w:cs="仿宋_GB2312"/>
          <w:color w:val="auto"/>
          <w:sz w:val="24"/>
          <w:szCs w:val="24"/>
          <w:highlight w:val="none"/>
        </w:rPr>
        <w:t>项目周期</w:t>
      </w:r>
    </w:p>
    <w:p w14:paraId="52E10142">
      <w:pPr>
        <w:widowControl/>
        <w:adjustRightInd w:val="0"/>
        <w:spacing w:beforeLines="0" w:afterLines="0"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合同签署后至免费保修期（三个月重保期结束后十二个月）结束。</w:t>
      </w:r>
    </w:p>
    <w:p w14:paraId="643D8105">
      <w:pPr>
        <w:pageBreakBefore w:val="0"/>
        <w:widowControl/>
        <w:kinsoku/>
        <w:overflowPunct/>
        <w:topLinePunct w:val="0"/>
        <w:autoSpaceDE/>
        <w:autoSpaceDN/>
        <w:bidi w:val="0"/>
        <w:adjustRightInd w:val="0"/>
        <w:snapToGrid/>
        <w:spacing w:beforeLines="0" w:afterLines="0"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（二）</w:t>
      </w:r>
      <w:r>
        <w:rPr>
          <w:rFonts w:hint="eastAsia" w:ascii="仿宋_GB2312" w:hAnsi="仿宋_GB2312" w:eastAsia="仿宋_GB2312" w:cs="仿宋_GB2312"/>
          <w:color w:val="auto"/>
          <w:sz w:val="24"/>
          <w:szCs w:val="24"/>
          <w:highlight w:val="none"/>
        </w:rPr>
        <w:t>服务地点</w:t>
      </w:r>
    </w:p>
    <w:p w14:paraId="59F041AD">
      <w:pPr>
        <w:widowControl/>
        <w:adjustRightInd w:val="0"/>
        <w:spacing w:line="560" w:lineRule="exact"/>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中国进出口银行信息科技部（北京或其他指定地点）。</w:t>
      </w:r>
    </w:p>
    <w:p w14:paraId="08FB3D3D">
      <w:pPr>
        <w:keepNext/>
        <w:keepLines/>
        <w:pageBreakBefore w:val="0"/>
        <w:widowControl w:val="0"/>
        <w:numPr>
          <w:ilvl w:val="0"/>
          <w:numId w:val="0"/>
        </w:numPr>
        <w:kinsoku/>
        <w:wordWrap/>
        <w:overflowPunct/>
        <w:topLinePunct w:val="0"/>
        <w:autoSpaceDE/>
        <w:autoSpaceDN/>
        <w:bidi w:val="0"/>
        <w:adjustRightInd w:val="0"/>
        <w:snapToGrid/>
        <w:spacing w:before="157" w:beforeLines="50" w:after="0" w:afterLines="0" w:line="560" w:lineRule="exact"/>
        <w:ind w:firstLine="480" w:firstLineChars="200"/>
        <w:jc w:val="both"/>
        <w:textAlignment w:val="baseline"/>
        <w:outlineLvl w:val="0"/>
        <w:rPr>
          <w:rFonts w:hint="eastAsia" w:ascii="仿宋_GB2312" w:hAnsi="仿宋_GB2312" w:eastAsia="仿宋_GB2312" w:cs="仿宋_GB2312"/>
          <w:b w:val="0"/>
          <w:bCs w:val="0"/>
          <w:color w:val="auto"/>
          <w:kern w:val="2"/>
          <w:sz w:val="24"/>
          <w:szCs w:val="24"/>
          <w:highlight w:val="none"/>
          <w:lang w:val="en-US" w:eastAsia="zh-CN" w:bidi="ar-SA"/>
        </w:rPr>
      </w:pPr>
      <w:bookmarkStart w:id="38" w:name="_Toc1759"/>
      <w:bookmarkStart w:id="39" w:name="_Toc6683"/>
      <w:bookmarkStart w:id="40" w:name="_Toc27829"/>
      <w:r>
        <w:rPr>
          <w:rFonts w:hint="eastAsia" w:ascii="黑体" w:hAnsi="黑体" w:eastAsia="黑体" w:cs="黑体"/>
          <w:b w:val="0"/>
          <w:bCs w:val="0"/>
          <w:color w:val="auto"/>
          <w:kern w:val="2"/>
          <w:sz w:val="24"/>
          <w:szCs w:val="24"/>
          <w:highlight w:val="none"/>
          <w:lang w:val="en-US" w:eastAsia="zh-CN" w:bidi="ar-SA"/>
        </w:rPr>
        <w:t>九、财务支付要求</w:t>
      </w:r>
      <w:bookmarkEnd w:id="38"/>
      <w:bookmarkEnd w:id="39"/>
    </w:p>
    <w:p w14:paraId="09CFA7AF">
      <w:pPr>
        <w:keepNext w:val="0"/>
        <w:keepLines w:val="0"/>
        <w:pageBreakBefore w:val="0"/>
        <w:widowControl/>
        <w:numPr>
          <w:ilvl w:val="0"/>
          <w:numId w:val="0"/>
        </w:numPr>
        <w:kinsoku/>
        <w:wordWrap/>
        <w:overflowPunct/>
        <w:topLinePunct w:val="0"/>
        <w:autoSpaceDE/>
        <w:autoSpaceDN/>
        <w:bidi w:val="0"/>
        <w:adjustRightInd w:val="0"/>
        <w:snapToGrid/>
        <w:spacing w:beforeLines="0" w:afterLines="0" w:line="560" w:lineRule="exact"/>
        <w:ind w:left="0" w:leftChars="0" w:firstLine="480" w:firstLineChars="200"/>
        <w:jc w:val="left"/>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1.20项需求</w:t>
      </w:r>
    </w:p>
    <w:p w14:paraId="77EC8A37">
      <w:pPr>
        <w:numPr>
          <w:ilvl w:val="0"/>
          <w:numId w:val="0"/>
        </w:numPr>
        <w:rPr>
          <w:rFonts w:hint="eastAsia" w:ascii="仿宋_GB2312" w:hAnsi="仿宋_GB2312" w:eastAsia="仿宋_GB2312" w:cs="仿宋_GB2312"/>
          <w:color w:val="auto"/>
          <w:sz w:val="24"/>
          <w:szCs w:val="24"/>
          <w:highlight w:val="none"/>
          <w:lang w:val="en-US" w:eastAsia="zh-CN"/>
        </w:rPr>
      </w:pPr>
    </w:p>
    <w:bookmarkEnd w:id="40"/>
    <w:tbl>
      <w:tblPr>
        <w:tblStyle w:val="11"/>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
        <w:gridCol w:w="1177"/>
        <w:gridCol w:w="4472"/>
        <w:gridCol w:w="2115"/>
      </w:tblGrid>
      <w:tr w14:paraId="5FB7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85" w:type="dxa"/>
            <w:noWrap w:val="0"/>
            <w:vAlign w:val="center"/>
          </w:tcPr>
          <w:p w14:paraId="64D8B77B">
            <w:pPr>
              <w:keepNext w:val="0"/>
              <w:keepLines w:val="0"/>
              <w:pageBreakBefore w:val="0"/>
              <w:widowControl/>
              <w:kinsoku/>
              <w:wordWrap/>
              <w:overflowPunct/>
              <w:topLinePunct w:val="0"/>
              <w:autoSpaceDE/>
              <w:autoSpaceDN/>
              <w:bidi w:val="0"/>
              <w:adjustRightInd w:val="0"/>
              <w:snapToGrid/>
              <w:spacing w:beforeLines="0" w:afterLines="0" w:line="440" w:lineRule="exact"/>
              <w:ind w:firstLine="0" w:firstLineChars="0"/>
              <w:jc w:val="center"/>
              <w:textAlignment w:val="baseline"/>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序号</w:t>
            </w:r>
          </w:p>
        </w:tc>
        <w:tc>
          <w:tcPr>
            <w:tcW w:w="1177" w:type="dxa"/>
            <w:noWrap w:val="0"/>
            <w:vAlign w:val="center"/>
          </w:tcPr>
          <w:p w14:paraId="57CFC294">
            <w:pPr>
              <w:pageBreakBefore w:val="0"/>
              <w:widowControl/>
              <w:kinsoku/>
              <w:overflowPunct/>
              <w:topLinePunct w:val="0"/>
              <w:autoSpaceDE/>
              <w:autoSpaceDN/>
              <w:bidi w:val="0"/>
              <w:adjustRightInd w:val="0"/>
              <w:snapToGrid/>
              <w:spacing w:beforeLines="0" w:afterLines="0" w:line="560" w:lineRule="exact"/>
              <w:ind w:firstLine="0" w:firstLineChars="0"/>
              <w:jc w:val="center"/>
              <w:textAlignment w:val="baseline"/>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付款节点</w:t>
            </w:r>
          </w:p>
        </w:tc>
        <w:tc>
          <w:tcPr>
            <w:tcW w:w="4472" w:type="dxa"/>
            <w:noWrap w:val="0"/>
            <w:vAlign w:val="center"/>
          </w:tcPr>
          <w:p w14:paraId="2661BAC1">
            <w:pPr>
              <w:pageBreakBefore w:val="0"/>
              <w:widowControl/>
              <w:kinsoku/>
              <w:overflowPunct/>
              <w:topLinePunct w:val="0"/>
              <w:autoSpaceDE/>
              <w:autoSpaceDN/>
              <w:bidi w:val="0"/>
              <w:adjustRightInd w:val="0"/>
              <w:snapToGrid/>
              <w:spacing w:beforeLines="0" w:afterLines="0" w:line="560" w:lineRule="exact"/>
              <w:ind w:firstLine="0" w:firstLineChars="0"/>
              <w:jc w:val="center"/>
              <w:textAlignment w:val="baseline"/>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付款条件</w:t>
            </w:r>
          </w:p>
        </w:tc>
        <w:tc>
          <w:tcPr>
            <w:tcW w:w="2115" w:type="dxa"/>
            <w:noWrap w:val="0"/>
            <w:vAlign w:val="center"/>
          </w:tcPr>
          <w:p w14:paraId="3FAF1F63">
            <w:pPr>
              <w:pageBreakBefore w:val="0"/>
              <w:widowControl/>
              <w:kinsoku/>
              <w:overflowPunct/>
              <w:topLinePunct w:val="0"/>
              <w:autoSpaceDE/>
              <w:autoSpaceDN/>
              <w:bidi w:val="0"/>
              <w:adjustRightInd w:val="0"/>
              <w:snapToGrid/>
              <w:spacing w:beforeLines="0" w:afterLines="0" w:line="560" w:lineRule="exact"/>
              <w:ind w:firstLine="0" w:firstLineChars="0"/>
              <w:jc w:val="center"/>
              <w:textAlignment w:val="baseline"/>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付款比例</w:t>
            </w:r>
          </w:p>
        </w:tc>
      </w:tr>
      <w:tr w14:paraId="2919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85" w:type="dxa"/>
            <w:noWrap w:val="0"/>
            <w:vAlign w:val="center"/>
          </w:tcPr>
          <w:p w14:paraId="621B2798">
            <w:pPr>
              <w:pageBreakBefore w:val="0"/>
              <w:kinsoku/>
              <w:overflowPunct/>
              <w:topLinePunct w:val="0"/>
              <w:autoSpaceDE/>
              <w:autoSpaceDN/>
              <w:bidi w:val="0"/>
              <w:snapToGrid/>
              <w:spacing w:beforeLines="0" w:afterLines="0" w:line="560" w:lineRule="exact"/>
              <w:ind w:firstLine="0" w:firstLineChars="0"/>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p>
        </w:tc>
        <w:tc>
          <w:tcPr>
            <w:tcW w:w="1177" w:type="dxa"/>
            <w:noWrap w:val="0"/>
            <w:vAlign w:val="center"/>
          </w:tcPr>
          <w:p w14:paraId="04320CCC">
            <w:pPr>
              <w:pageBreakBefore w:val="0"/>
              <w:kinsoku/>
              <w:overflowPunct/>
              <w:topLinePunct w:val="0"/>
              <w:autoSpaceDE/>
              <w:autoSpaceDN/>
              <w:bidi w:val="0"/>
              <w:snapToGrid/>
              <w:spacing w:beforeLines="0" w:afterLines="0" w:line="560" w:lineRule="exact"/>
              <w:ind w:firstLine="0" w:firstLine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首付款</w:t>
            </w:r>
          </w:p>
        </w:tc>
        <w:tc>
          <w:tcPr>
            <w:tcW w:w="4472" w:type="dxa"/>
            <w:noWrap w:val="0"/>
            <w:vAlign w:val="center"/>
          </w:tcPr>
          <w:p w14:paraId="671AFF3A">
            <w:pPr>
              <w:keepNext w:val="0"/>
              <w:keepLines w:val="0"/>
              <w:pageBreakBefore w:val="0"/>
              <w:widowControl w:val="0"/>
              <w:kinsoku/>
              <w:wordWrap/>
              <w:overflowPunct/>
              <w:topLinePunct w:val="0"/>
              <w:autoSpaceDE/>
              <w:autoSpaceDN/>
              <w:bidi w:val="0"/>
              <w:adjustRightInd/>
              <w:snapToGrid/>
              <w:spacing w:beforeLines="0" w:afterLines="0" w:line="360" w:lineRule="exact"/>
              <w:ind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合同签署</w:t>
            </w:r>
            <w:r>
              <w:rPr>
                <w:rFonts w:hint="eastAsia" w:ascii="仿宋_GB2312" w:hAnsi="仿宋_GB2312" w:eastAsia="仿宋_GB2312" w:cs="仿宋_GB2312"/>
                <w:color w:val="auto"/>
                <w:kern w:val="2"/>
                <w:sz w:val="24"/>
                <w:szCs w:val="24"/>
                <w:highlight w:val="none"/>
              </w:rPr>
              <w:t>后，</w:t>
            </w:r>
            <w:r>
              <w:rPr>
                <w:rFonts w:hint="eastAsia" w:ascii="仿宋_GB2312" w:hAnsi="仿宋_GB2312" w:eastAsia="仿宋_GB2312" w:cs="仿宋_GB2312"/>
                <w:color w:val="auto"/>
                <w:kern w:val="2"/>
                <w:sz w:val="24"/>
                <w:szCs w:val="24"/>
                <w:highlight w:val="none"/>
                <w:lang w:eastAsia="zh-CN"/>
              </w:rPr>
              <w:t>采购人</w:t>
            </w:r>
            <w:r>
              <w:rPr>
                <w:rFonts w:hint="eastAsia" w:ascii="仿宋_GB2312" w:hAnsi="仿宋_GB2312" w:eastAsia="仿宋_GB2312" w:cs="仿宋_GB2312"/>
                <w:color w:val="auto"/>
                <w:kern w:val="2"/>
                <w:sz w:val="24"/>
                <w:szCs w:val="24"/>
                <w:highlight w:val="none"/>
              </w:rPr>
              <w:t>在收到</w:t>
            </w:r>
            <w:r>
              <w:rPr>
                <w:rFonts w:hint="eastAsia" w:ascii="仿宋_GB2312" w:hAnsi="仿宋_GB2312" w:eastAsia="仿宋_GB2312" w:cs="仿宋_GB2312"/>
                <w:color w:val="auto"/>
                <w:kern w:val="2"/>
                <w:sz w:val="24"/>
                <w:szCs w:val="24"/>
                <w:highlight w:val="none"/>
                <w:lang w:eastAsia="zh-CN"/>
              </w:rPr>
              <w:t>供应商</w:t>
            </w:r>
            <w:r>
              <w:rPr>
                <w:rFonts w:hint="eastAsia" w:ascii="仿宋_GB2312" w:hAnsi="仿宋_GB2312" w:eastAsia="仿宋_GB2312" w:cs="仿宋_GB2312"/>
                <w:color w:val="auto"/>
                <w:kern w:val="2"/>
                <w:sz w:val="24"/>
                <w:szCs w:val="24"/>
                <w:highlight w:val="none"/>
              </w:rPr>
              <w:t>出具的付款申请及相应金额经</w:t>
            </w:r>
            <w:r>
              <w:rPr>
                <w:rFonts w:hint="eastAsia" w:ascii="仿宋_GB2312" w:hAnsi="仿宋_GB2312" w:eastAsia="仿宋_GB2312" w:cs="仿宋_GB2312"/>
                <w:color w:val="auto"/>
                <w:kern w:val="2"/>
                <w:sz w:val="24"/>
                <w:szCs w:val="24"/>
                <w:highlight w:val="none"/>
                <w:lang w:eastAsia="zh-CN"/>
              </w:rPr>
              <w:t>采购人</w:t>
            </w:r>
            <w:r>
              <w:rPr>
                <w:rFonts w:hint="eastAsia" w:ascii="仿宋_GB2312" w:hAnsi="仿宋_GB2312" w:eastAsia="仿宋_GB2312" w:cs="仿宋_GB2312"/>
                <w:color w:val="auto"/>
                <w:kern w:val="2"/>
                <w:sz w:val="24"/>
                <w:szCs w:val="24"/>
                <w:highlight w:val="none"/>
              </w:rPr>
              <w:t>认可的合法有效发票之日起</w:t>
            </w:r>
            <w:r>
              <w:rPr>
                <w:rFonts w:hint="eastAsia" w:ascii="仿宋_GB2312" w:hAnsi="仿宋_GB2312" w:eastAsia="仿宋_GB2312" w:cs="仿宋_GB2312"/>
                <w:color w:val="auto"/>
                <w:kern w:val="2"/>
                <w:sz w:val="24"/>
                <w:szCs w:val="24"/>
                <w:highlight w:val="none"/>
                <w:lang w:val="en-US" w:eastAsia="zh-CN"/>
              </w:rPr>
              <w:t>20个工作</w:t>
            </w:r>
            <w:r>
              <w:rPr>
                <w:rFonts w:hint="eastAsia" w:ascii="仿宋_GB2312" w:hAnsi="仿宋_GB2312" w:eastAsia="仿宋_GB2312" w:cs="仿宋_GB2312"/>
                <w:color w:val="auto"/>
                <w:kern w:val="2"/>
                <w:sz w:val="24"/>
                <w:szCs w:val="24"/>
                <w:highlight w:val="none"/>
              </w:rPr>
              <w:t>日内</w:t>
            </w:r>
          </w:p>
        </w:tc>
        <w:tc>
          <w:tcPr>
            <w:tcW w:w="2115" w:type="dxa"/>
            <w:noWrap w:val="0"/>
            <w:vAlign w:val="center"/>
          </w:tcPr>
          <w:p w14:paraId="1622513D">
            <w:pPr>
              <w:keepNext w:val="0"/>
              <w:keepLines w:val="0"/>
              <w:pageBreakBefore w:val="0"/>
              <w:widowControl w:val="0"/>
              <w:kinsoku/>
              <w:wordWrap/>
              <w:overflowPunct/>
              <w:topLinePunct w:val="0"/>
              <w:autoSpaceDE/>
              <w:autoSpaceDN/>
              <w:bidi w:val="0"/>
              <w:adjustRightInd/>
              <w:snapToGrid/>
              <w:spacing w:beforeLines="0" w:afterLines="0" w:line="360" w:lineRule="exact"/>
              <w:ind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付款至合同中约定的20项需求涉及金额的50%</w:t>
            </w:r>
          </w:p>
        </w:tc>
      </w:tr>
      <w:tr w14:paraId="5DCB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485" w:type="dxa"/>
            <w:noWrap w:val="0"/>
            <w:vAlign w:val="center"/>
          </w:tcPr>
          <w:p w14:paraId="6A5EE5E4">
            <w:pPr>
              <w:pageBreakBefore w:val="0"/>
              <w:kinsoku/>
              <w:overflowPunct/>
              <w:topLinePunct w:val="0"/>
              <w:autoSpaceDE/>
              <w:autoSpaceDN/>
              <w:bidi w:val="0"/>
              <w:snapToGrid/>
              <w:spacing w:beforeLines="0" w:afterLines="0" w:line="560" w:lineRule="exact"/>
              <w:ind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w:t>
            </w:r>
          </w:p>
        </w:tc>
        <w:tc>
          <w:tcPr>
            <w:tcW w:w="1177" w:type="dxa"/>
            <w:noWrap w:val="0"/>
            <w:vAlign w:val="center"/>
          </w:tcPr>
          <w:p w14:paraId="755D8EB9">
            <w:pPr>
              <w:pageBreakBefore w:val="0"/>
              <w:kinsoku/>
              <w:overflowPunct/>
              <w:topLinePunct w:val="0"/>
              <w:autoSpaceDE/>
              <w:autoSpaceDN/>
              <w:bidi w:val="0"/>
              <w:snapToGrid/>
              <w:spacing w:beforeLines="0" w:afterLines="0" w:line="560" w:lineRule="exact"/>
              <w:ind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验收款</w:t>
            </w:r>
          </w:p>
        </w:tc>
        <w:tc>
          <w:tcPr>
            <w:tcW w:w="4472" w:type="dxa"/>
            <w:noWrap w:val="0"/>
            <w:vAlign w:val="center"/>
          </w:tcPr>
          <w:p w14:paraId="217B5C7B">
            <w:pPr>
              <w:keepNext w:val="0"/>
              <w:keepLines w:val="0"/>
              <w:pageBreakBefore w:val="0"/>
              <w:widowControl w:val="0"/>
              <w:kinsoku/>
              <w:wordWrap/>
              <w:overflowPunct/>
              <w:topLinePunct w:val="0"/>
              <w:autoSpaceDE/>
              <w:autoSpaceDN/>
              <w:bidi w:val="0"/>
              <w:adjustRightInd/>
              <w:snapToGrid/>
              <w:spacing w:beforeLines="0" w:afterLines="0" w:line="360" w:lineRule="exact"/>
              <w:ind w:firstLine="0" w:firstLineChars="0"/>
              <w:jc w:val="left"/>
              <w:textAlignment w:val="auto"/>
              <w:rPr>
                <w:rFonts w:hint="eastAsia"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全部需求上线稳定运行满3个月，并通过投产验收后，采购人自收到供应商出具的付款申请及相应金额经采购人认可的合法有效发票之日起20个工作</w:t>
            </w:r>
            <w:r>
              <w:rPr>
                <w:rFonts w:hint="eastAsia" w:ascii="仿宋_GB2312" w:hAnsi="仿宋_GB2312" w:eastAsia="仿宋_GB2312" w:cs="仿宋_GB2312"/>
                <w:color w:val="auto"/>
                <w:kern w:val="2"/>
                <w:sz w:val="24"/>
                <w:szCs w:val="24"/>
                <w:highlight w:val="none"/>
              </w:rPr>
              <w:t>日内</w:t>
            </w:r>
          </w:p>
        </w:tc>
        <w:tc>
          <w:tcPr>
            <w:tcW w:w="2115" w:type="dxa"/>
            <w:noWrap w:val="0"/>
            <w:vAlign w:val="center"/>
          </w:tcPr>
          <w:p w14:paraId="57E04E76">
            <w:pPr>
              <w:keepNext w:val="0"/>
              <w:keepLines w:val="0"/>
              <w:pageBreakBefore w:val="0"/>
              <w:widowControl w:val="0"/>
              <w:kinsoku/>
              <w:wordWrap/>
              <w:overflowPunct/>
              <w:topLinePunct w:val="0"/>
              <w:autoSpaceDE/>
              <w:autoSpaceDN/>
              <w:bidi w:val="0"/>
              <w:adjustRightInd/>
              <w:snapToGrid/>
              <w:spacing w:beforeLines="0" w:afterLines="0" w:line="360" w:lineRule="exact"/>
              <w:ind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付款至合同中约定的20项需求涉及金额的70%</w:t>
            </w:r>
          </w:p>
        </w:tc>
      </w:tr>
      <w:tr w14:paraId="4A47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4" w:hRule="atLeast"/>
          <w:jc w:val="center"/>
        </w:trPr>
        <w:tc>
          <w:tcPr>
            <w:tcW w:w="485" w:type="dxa"/>
            <w:noWrap w:val="0"/>
            <w:vAlign w:val="center"/>
          </w:tcPr>
          <w:p w14:paraId="3368E5D3">
            <w:pPr>
              <w:pageBreakBefore w:val="0"/>
              <w:kinsoku/>
              <w:overflowPunct/>
              <w:topLinePunct w:val="0"/>
              <w:autoSpaceDE/>
              <w:autoSpaceDN/>
              <w:bidi w:val="0"/>
              <w:snapToGrid/>
              <w:spacing w:beforeLines="0" w:afterLines="0" w:line="560" w:lineRule="exact"/>
              <w:ind w:firstLine="0" w:firstLineChars="0"/>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3</w:t>
            </w:r>
          </w:p>
        </w:tc>
        <w:tc>
          <w:tcPr>
            <w:tcW w:w="1177" w:type="dxa"/>
            <w:noWrap w:val="0"/>
            <w:vAlign w:val="center"/>
          </w:tcPr>
          <w:p w14:paraId="13993A8F">
            <w:pPr>
              <w:pageBreakBefore w:val="0"/>
              <w:kinsoku/>
              <w:overflowPunct/>
              <w:topLinePunct w:val="0"/>
              <w:autoSpaceDE/>
              <w:autoSpaceDN/>
              <w:bidi w:val="0"/>
              <w:snapToGrid/>
              <w:spacing w:beforeLines="0" w:afterLines="0" w:line="560" w:lineRule="exact"/>
              <w:ind w:firstLine="0" w:firstLineChars="0"/>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尾  款</w:t>
            </w:r>
          </w:p>
        </w:tc>
        <w:tc>
          <w:tcPr>
            <w:tcW w:w="4472" w:type="dxa"/>
            <w:noWrap w:val="0"/>
            <w:vAlign w:val="center"/>
          </w:tcPr>
          <w:p w14:paraId="0D9751E4">
            <w:pPr>
              <w:keepNext w:val="0"/>
              <w:keepLines w:val="0"/>
              <w:pageBreakBefore w:val="0"/>
              <w:widowControl w:val="0"/>
              <w:kinsoku/>
              <w:wordWrap/>
              <w:overflowPunct/>
              <w:topLinePunct w:val="0"/>
              <w:autoSpaceDE/>
              <w:autoSpaceDN/>
              <w:bidi w:val="0"/>
              <w:adjustRightInd/>
              <w:snapToGrid/>
              <w:spacing w:beforeLines="0" w:afterLines="0" w:line="360" w:lineRule="exact"/>
              <w:ind w:firstLine="0" w:firstLine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保修期结束，通过应用运维验收后，采购人收到供应商出具的付款申请及相应金额经采购人认可的合法有效发票之日起20</w:t>
            </w:r>
            <w:r>
              <w:rPr>
                <w:rFonts w:hint="eastAsia" w:ascii="仿宋_GB2312" w:hAnsi="仿宋_GB2312" w:eastAsia="仿宋_GB2312" w:cs="仿宋_GB2312"/>
                <w:color w:val="auto"/>
                <w:sz w:val="24"/>
                <w:szCs w:val="24"/>
                <w:highlight w:val="none"/>
                <w:lang w:eastAsia="zh-CN"/>
              </w:rPr>
              <w:t>个工作日内</w:t>
            </w:r>
          </w:p>
        </w:tc>
        <w:tc>
          <w:tcPr>
            <w:tcW w:w="2115" w:type="dxa"/>
            <w:noWrap w:val="0"/>
            <w:vAlign w:val="center"/>
          </w:tcPr>
          <w:p w14:paraId="493D13F9">
            <w:pPr>
              <w:keepNext w:val="0"/>
              <w:keepLines w:val="0"/>
              <w:pageBreakBefore w:val="0"/>
              <w:widowControl w:val="0"/>
              <w:kinsoku/>
              <w:wordWrap/>
              <w:overflowPunct/>
              <w:topLinePunct w:val="0"/>
              <w:autoSpaceDE/>
              <w:autoSpaceDN/>
              <w:bidi w:val="0"/>
              <w:adjustRightInd/>
              <w:snapToGrid/>
              <w:spacing w:beforeLines="0" w:afterLines="0" w:line="360" w:lineRule="exact"/>
              <w:ind w:firstLine="0" w:firstLineChars="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付款至合同中约定的20项需求涉及金额的100%</w:t>
            </w:r>
          </w:p>
        </w:tc>
      </w:tr>
    </w:tbl>
    <w:p w14:paraId="16822DDA">
      <w:pPr>
        <w:keepNext w:val="0"/>
        <w:keepLines w:val="0"/>
        <w:pageBreakBefore w:val="0"/>
        <w:widowControl/>
        <w:numPr>
          <w:ilvl w:val="-1"/>
          <w:numId w:val="0"/>
        </w:numPr>
        <w:kinsoku/>
        <w:wordWrap/>
        <w:overflowPunct/>
        <w:topLinePunct w:val="0"/>
        <w:autoSpaceDE/>
        <w:autoSpaceDN/>
        <w:bidi w:val="0"/>
        <w:adjustRightInd w:val="0"/>
        <w:snapToGrid/>
        <w:spacing w:before="157" w:beforeLines="0" w:after="0" w:afterLines="0" w:line="360" w:lineRule="auto"/>
        <w:ind w:left="0" w:firstLine="480" w:firstLineChars="200"/>
        <w:jc w:val="left"/>
        <w:textAlignment w:val="baseline"/>
        <w:outlineLvl w:val="0"/>
        <w:rPr>
          <w:rFonts w:hint="eastAsia" w:ascii="仿宋_GB2312" w:hAnsi="仿宋_GB2312" w:eastAsia="仿宋_GB2312" w:cs="仿宋_GB2312"/>
          <w:color w:val="auto"/>
          <w:sz w:val="24"/>
          <w:szCs w:val="24"/>
          <w:highlight w:val="none"/>
          <w:lang w:val="en-US" w:eastAsia="zh-CN"/>
        </w:rPr>
      </w:pPr>
      <w:bookmarkStart w:id="41" w:name="_Toc20560"/>
      <w:bookmarkStart w:id="42" w:name="_Toc29815"/>
      <w:bookmarkStart w:id="43" w:name="_Toc8242"/>
      <w:bookmarkStart w:id="44" w:name="_Toc27951"/>
      <w:r>
        <w:rPr>
          <w:rFonts w:hint="eastAsia" w:ascii="仿宋_GB2312" w:hAnsi="仿宋_GB2312" w:eastAsia="仿宋_GB2312" w:cs="仿宋_GB2312"/>
          <w:color w:val="auto"/>
          <w:sz w:val="24"/>
          <w:szCs w:val="24"/>
          <w:highlight w:val="none"/>
          <w:lang w:val="en-US" w:eastAsia="zh-CN"/>
        </w:rPr>
        <w:t>2.预留工作量</w:t>
      </w:r>
      <w:bookmarkEnd w:id="41"/>
    </w:p>
    <w:p w14:paraId="68DDEA04">
      <w:pPr>
        <w:pageBreakBefore w:val="0"/>
        <w:widowControl/>
        <w:kinsoku/>
        <w:overflowPunct/>
        <w:topLinePunct w:val="0"/>
        <w:autoSpaceDE/>
        <w:autoSpaceDN/>
        <w:bidi w:val="0"/>
        <w:adjustRightInd w:val="0"/>
        <w:snapToGrid/>
        <w:spacing w:beforeLines="0" w:afterLines="0" w:line="360" w:lineRule="auto"/>
        <w:ind w:firstLine="480" w:firstLineChars="200"/>
        <w:textAlignment w:val="baseline"/>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针对预留工作量部分的付款，合同签署后每半年进行一次付款，待订单对应的需求</w:t>
      </w:r>
      <w:r>
        <w:rPr>
          <w:rFonts w:hint="eastAsia" w:ascii="仿宋_GB2312" w:hAnsi="仿宋_GB2312" w:eastAsia="仿宋_GB2312" w:cs="仿宋_GB2312"/>
          <w:color w:val="auto"/>
          <w:kern w:val="2"/>
          <w:sz w:val="24"/>
          <w:szCs w:val="24"/>
          <w:highlight w:val="none"/>
          <w:lang w:val="en-US" w:eastAsia="zh-CN"/>
        </w:rPr>
        <w:t>上线稳定运行满3个月，并通过投产验收后，可对通过验收的订单进行付款，据实结算。采购人自收到供应商出具的付款申请及相应金额经采购人认可的合法有效发票之日起20个工作</w:t>
      </w:r>
      <w:r>
        <w:rPr>
          <w:rFonts w:hint="eastAsia" w:ascii="仿宋_GB2312" w:hAnsi="仿宋_GB2312" w:eastAsia="仿宋_GB2312" w:cs="仿宋_GB2312"/>
          <w:color w:val="auto"/>
          <w:kern w:val="2"/>
          <w:sz w:val="24"/>
          <w:szCs w:val="24"/>
          <w:highlight w:val="none"/>
        </w:rPr>
        <w:t>日内</w:t>
      </w:r>
      <w:r>
        <w:rPr>
          <w:rFonts w:hint="eastAsia" w:ascii="仿宋_GB2312" w:hAnsi="仿宋_GB2312" w:eastAsia="仿宋_GB2312" w:cs="仿宋_GB2312"/>
          <w:color w:val="auto"/>
          <w:kern w:val="2"/>
          <w:sz w:val="24"/>
          <w:szCs w:val="24"/>
          <w:highlight w:val="none"/>
          <w:lang w:val="en-US" w:eastAsia="zh-CN"/>
        </w:rPr>
        <w:t>付款</w:t>
      </w:r>
      <w:r>
        <w:rPr>
          <w:rFonts w:hint="eastAsia" w:ascii="仿宋_GB2312" w:hAnsi="仿宋_GB2312" w:eastAsia="仿宋_GB2312" w:cs="仿宋_GB2312"/>
          <w:color w:val="auto"/>
          <w:sz w:val="24"/>
          <w:szCs w:val="24"/>
          <w:highlight w:val="none"/>
          <w:lang w:val="en-US" w:eastAsia="zh-CN"/>
        </w:rPr>
        <w:t>。</w:t>
      </w:r>
    </w:p>
    <w:p w14:paraId="120B5038">
      <w:pPr>
        <w:keepNext/>
        <w:keepLines/>
        <w:pageBreakBefore w:val="0"/>
        <w:widowControl w:val="0"/>
        <w:kinsoku/>
        <w:wordWrap/>
        <w:overflowPunct/>
        <w:topLinePunct w:val="0"/>
        <w:autoSpaceDE/>
        <w:autoSpaceDN/>
        <w:bidi w:val="0"/>
        <w:adjustRightInd w:val="0"/>
        <w:snapToGrid/>
        <w:spacing w:before="157" w:beforeLines="50" w:after="0" w:afterLines="0" w:line="360" w:lineRule="auto"/>
        <w:ind w:firstLine="480" w:firstLineChars="200"/>
        <w:jc w:val="both"/>
        <w:textAlignment w:val="baseline"/>
        <w:outlineLvl w:val="0"/>
        <w:rPr>
          <w:rFonts w:hint="eastAsia" w:ascii="仿宋_GB2312" w:hAnsi="仿宋_GB2312" w:eastAsia="仿宋_GB2312" w:cs="仿宋_GB2312"/>
          <w:b w:val="0"/>
          <w:bCs w:val="0"/>
          <w:color w:val="auto"/>
          <w:kern w:val="2"/>
          <w:sz w:val="24"/>
          <w:szCs w:val="24"/>
          <w:highlight w:val="none"/>
          <w:lang w:val="en-US" w:eastAsia="zh-CN" w:bidi="ar-SA"/>
        </w:rPr>
      </w:pPr>
      <w:bookmarkStart w:id="45" w:name="_Toc4016"/>
      <w:r>
        <w:rPr>
          <w:rFonts w:hint="eastAsia" w:ascii="黑体" w:hAnsi="黑体" w:eastAsia="黑体" w:cs="黑体"/>
          <w:b w:val="0"/>
          <w:bCs w:val="0"/>
          <w:color w:val="auto"/>
          <w:kern w:val="2"/>
          <w:sz w:val="24"/>
          <w:szCs w:val="24"/>
          <w:highlight w:val="none"/>
          <w:lang w:val="en-US" w:eastAsia="zh-CN" w:bidi="ar-SA"/>
        </w:rPr>
        <w:t>十、履约验收方案</w:t>
      </w:r>
      <w:bookmarkEnd w:id="42"/>
      <w:bookmarkEnd w:id="43"/>
      <w:bookmarkEnd w:id="44"/>
      <w:bookmarkEnd w:id="45"/>
    </w:p>
    <w:p w14:paraId="3065C71C">
      <w:pPr>
        <w:adjustRightInd w:val="0"/>
        <w:spacing w:line="360" w:lineRule="auto"/>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（一）履约验收的主体、时间、程序</w:t>
      </w:r>
    </w:p>
    <w:p w14:paraId="07B9C4AB">
      <w:pPr>
        <w:widowControl/>
        <w:adjustRightInd w:val="0"/>
        <w:spacing w:line="360" w:lineRule="auto"/>
        <w:ind w:firstLine="480" w:firstLineChars="200"/>
        <w:jc w:val="left"/>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1.验收主体</w:t>
      </w:r>
    </w:p>
    <w:p w14:paraId="5DF3F8D5">
      <w:pPr>
        <w:widowControl/>
        <w:adjustRightInd w:val="0"/>
        <w:spacing w:line="360" w:lineRule="auto"/>
        <w:ind w:firstLine="480" w:firstLineChars="200"/>
        <w:jc w:val="left"/>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组织验收。</w:t>
      </w:r>
    </w:p>
    <w:p w14:paraId="16C9BAFB">
      <w:pPr>
        <w:widowControl/>
        <w:adjustRightInd w:val="0"/>
        <w:spacing w:line="360" w:lineRule="auto"/>
        <w:ind w:firstLine="480" w:firstLineChars="200"/>
        <w:jc w:val="left"/>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2.验收时间及程序</w:t>
      </w:r>
    </w:p>
    <w:p w14:paraId="1B7B64A9">
      <w:pPr>
        <w:widowControl/>
        <w:adjustRightInd w:val="0"/>
        <w:spacing w:line="360" w:lineRule="auto"/>
        <w:ind w:firstLine="480" w:firstLineChars="200"/>
        <w:jc w:val="left"/>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项目涉及系统投产上线完成并稳定运行满3个月，各项功能满足验收标准，</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组织验收。</w:t>
      </w:r>
    </w:p>
    <w:p w14:paraId="0E8B665F">
      <w:pPr>
        <w:widowControl w:val="0"/>
        <w:spacing w:line="360" w:lineRule="auto"/>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具备验收条件后，由供应商向采购人提出验收申请，采购人收到申请后，自行或授权第三方监理依照合同及本工作说明书对其工作进行验收评估，如验收评估中发现其工作存在瑕疵、问题或遗漏，供应商须按照采购人要求限时解决，解决后采购人再次进行验收。验收通过后，采购人出具验收报告。</w:t>
      </w:r>
    </w:p>
    <w:p w14:paraId="49765B0B">
      <w:pPr>
        <w:numPr>
          <w:ilvl w:val="0"/>
          <w:numId w:val="6"/>
        </w:numPr>
        <w:adjustRightInd w:val="0"/>
        <w:spacing w:line="360" w:lineRule="auto"/>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履约验收内容和标准</w:t>
      </w:r>
    </w:p>
    <w:p w14:paraId="10522DBA">
      <w:pPr>
        <w:widowControl w:val="0"/>
        <w:spacing w:line="360" w:lineRule="auto"/>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本项目按采购人计划前完成上线，供应商应严格按实施计划完成设计、开发、测试、投产等各阶段内容，并确保项目总体目标。</w:t>
      </w:r>
    </w:p>
    <w:p w14:paraId="4CEFDCB9">
      <w:pPr>
        <w:spacing w:line="360" w:lineRule="auto"/>
        <w:ind w:firstLine="64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1.验收内容</w:t>
      </w:r>
    </w:p>
    <w:p w14:paraId="2BF5E03F">
      <w:pPr>
        <w:spacing w:line="360" w:lineRule="auto"/>
        <w:ind w:firstLine="64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（1）交付件，包括文档资料、源代码等</w:t>
      </w:r>
    </w:p>
    <w:p w14:paraId="5B9D642F">
      <w:pPr>
        <w:spacing w:line="360" w:lineRule="auto"/>
        <w:ind w:firstLine="64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（2）适配改造的物理子系统应用软件</w:t>
      </w:r>
    </w:p>
    <w:p w14:paraId="16C39534">
      <w:pPr>
        <w:spacing w:line="360" w:lineRule="auto"/>
        <w:ind w:firstLine="64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（3）以量化的SLA考核指标为依据，对供应商服务及项目完成情况进行量化评价</w:t>
      </w:r>
    </w:p>
    <w:p w14:paraId="79F11C00">
      <w:pPr>
        <w:spacing w:line="360" w:lineRule="auto"/>
        <w:ind w:firstLine="64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2.验收标准</w:t>
      </w:r>
    </w:p>
    <w:p w14:paraId="0BC9FAD9">
      <w:pPr>
        <w:spacing w:line="360" w:lineRule="auto"/>
        <w:ind w:firstLine="64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（1）文档验收标准</w:t>
      </w:r>
    </w:p>
    <w:p w14:paraId="09574495">
      <w:pPr>
        <w:numPr>
          <w:ilvl w:val="0"/>
          <w:numId w:val="7"/>
        </w:numPr>
        <w:spacing w:line="360" w:lineRule="auto"/>
        <w:ind w:left="1050" w:hanging="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文档内容应包含对应工作阶段的所有工作任务的最终成果</w:t>
      </w:r>
    </w:p>
    <w:p w14:paraId="3D9F4671">
      <w:pPr>
        <w:numPr>
          <w:ilvl w:val="0"/>
          <w:numId w:val="7"/>
        </w:numPr>
        <w:spacing w:line="360" w:lineRule="auto"/>
        <w:ind w:left="1050" w:hanging="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文档内容无重大分歧，</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能够接受文档中的主要观点、认可文档中所体现的工作成果</w:t>
      </w:r>
    </w:p>
    <w:p w14:paraId="2AAE8C14">
      <w:pPr>
        <w:numPr>
          <w:ilvl w:val="0"/>
          <w:numId w:val="7"/>
        </w:numPr>
        <w:spacing w:line="360" w:lineRule="auto"/>
        <w:ind w:left="1050" w:hanging="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所有正式交付件表达清晰、内容完整，符合</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要求。交付文档的描述不存在实质性的错误（包括不真实、遗漏、误差、以及对使用者可能产生误导的信息）；文字无重大或误导性错误</w:t>
      </w:r>
    </w:p>
    <w:p w14:paraId="2F1CE238">
      <w:pPr>
        <w:numPr>
          <w:ilvl w:val="0"/>
          <w:numId w:val="7"/>
        </w:numPr>
        <w:spacing w:line="360" w:lineRule="auto"/>
        <w:ind w:left="1050" w:hanging="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文档交付齐备</w:t>
      </w:r>
    </w:p>
    <w:p w14:paraId="3DF6F92E">
      <w:pPr>
        <w:numPr>
          <w:ilvl w:val="0"/>
          <w:numId w:val="7"/>
        </w:numPr>
        <w:spacing w:line="360" w:lineRule="auto"/>
        <w:ind w:left="1050" w:hanging="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除特别指明的并经</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同意的英文提交文档之外，要求提供中文文档</w:t>
      </w:r>
    </w:p>
    <w:p w14:paraId="5E254FCA">
      <w:pPr>
        <w:numPr>
          <w:ilvl w:val="0"/>
          <w:numId w:val="7"/>
        </w:numPr>
        <w:spacing w:line="360" w:lineRule="auto"/>
        <w:ind w:left="1050" w:hanging="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提交项目全部交付件并通过</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审核，在此基础上形成项目的《交付件交付情况一览表》，经过</w:t>
      </w:r>
      <w:r>
        <w:rPr>
          <w:rFonts w:hint="eastAsia" w:ascii="仿宋_GB2312" w:hAnsi="仿宋_GB2312" w:eastAsia="仿宋_GB2312" w:cs="仿宋_GB2312"/>
          <w:color w:val="auto"/>
          <w:sz w:val="24"/>
          <w:szCs w:val="24"/>
          <w:highlight w:val="none"/>
          <w:lang w:eastAsia="zh-CN"/>
        </w:rPr>
        <w:t>采购人</w:t>
      </w:r>
      <w:r>
        <w:rPr>
          <w:rFonts w:hint="eastAsia" w:ascii="仿宋_GB2312" w:hAnsi="仿宋_GB2312" w:eastAsia="仿宋_GB2312" w:cs="仿宋_GB2312"/>
          <w:color w:val="auto"/>
          <w:sz w:val="24"/>
          <w:szCs w:val="24"/>
          <w:highlight w:val="none"/>
        </w:rPr>
        <w:t>核对认可</w:t>
      </w:r>
    </w:p>
    <w:p w14:paraId="5C7765BA">
      <w:pPr>
        <w:spacing w:line="360" w:lineRule="auto"/>
        <w:ind w:firstLine="64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（2）系统验收标准</w:t>
      </w:r>
    </w:p>
    <w:p w14:paraId="79940AC1">
      <w:pPr>
        <w:numPr>
          <w:ilvl w:val="0"/>
          <w:numId w:val="7"/>
        </w:numPr>
        <w:spacing w:line="360" w:lineRule="auto"/>
        <w:ind w:left="1050" w:hanging="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系统符合项目工作说明书的要求</w:t>
      </w:r>
    </w:p>
    <w:p w14:paraId="01844144">
      <w:pPr>
        <w:numPr>
          <w:ilvl w:val="0"/>
          <w:numId w:val="7"/>
        </w:numPr>
        <w:spacing w:line="360" w:lineRule="auto"/>
        <w:ind w:left="1050" w:hanging="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新增系统的安全等级保护基本要求满足国家标准和监管要求中对本系统的相应要求</w:t>
      </w:r>
    </w:p>
    <w:p w14:paraId="3D494553">
      <w:pPr>
        <w:numPr>
          <w:ilvl w:val="0"/>
          <w:numId w:val="7"/>
        </w:numPr>
        <w:spacing w:line="360" w:lineRule="auto"/>
        <w:ind w:left="1050" w:hanging="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系统通过用户接收测试，若有遗留问题须在本项目最终验收启动前解决</w:t>
      </w:r>
    </w:p>
    <w:p w14:paraId="10FE5FF9">
      <w:pPr>
        <w:widowControl w:val="0"/>
        <w:numPr>
          <w:ilvl w:val="0"/>
          <w:numId w:val="8"/>
        </w:numPr>
        <w:spacing w:line="360" w:lineRule="auto"/>
        <w:ind w:left="420" w:leftChars="200" w:firstLine="42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SLA指标考核</w:t>
      </w:r>
    </w:p>
    <w:p w14:paraId="061AAC89">
      <w:pPr>
        <w:widowControl/>
        <w:spacing w:afterLines="0" w:line="360" w:lineRule="auto"/>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本项目发起验收时，进行SLA考核。指标项如下：</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265"/>
        <w:gridCol w:w="1563"/>
        <w:gridCol w:w="4352"/>
        <w:gridCol w:w="883"/>
      </w:tblGrid>
      <w:tr w14:paraId="2DB8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 w:type="pct"/>
            <w:vAlign w:val="center"/>
          </w:tcPr>
          <w:p w14:paraId="54B264EC">
            <w:pPr>
              <w:widowControl/>
              <w:jc w:val="center"/>
              <w:rPr>
                <w:rFonts w:hint="eastAsia" w:ascii="仿宋_GB2312" w:hAnsi="仿宋_GB2312" w:eastAsia="仿宋_GB2312" w:cs="仿宋_GB2312"/>
                <w:color w:val="auto"/>
                <w:kern w:val="0"/>
                <w:sz w:val="24"/>
                <w:szCs w:val="24"/>
                <w:highlight w:val="none"/>
                <w:lang w:val="en-GB"/>
              </w:rPr>
            </w:pPr>
            <w:r>
              <w:rPr>
                <w:rFonts w:hint="eastAsia" w:ascii="仿宋_GB2312" w:hAnsi="仿宋_GB2312" w:eastAsia="仿宋_GB2312" w:cs="仿宋_GB2312"/>
                <w:color w:val="auto"/>
                <w:kern w:val="0"/>
                <w:sz w:val="24"/>
                <w:szCs w:val="24"/>
                <w:highlight w:val="none"/>
                <w:lang w:val="en-GB"/>
              </w:rPr>
              <w:t>序号</w:t>
            </w:r>
          </w:p>
        </w:tc>
        <w:tc>
          <w:tcPr>
            <w:tcW w:w="743" w:type="pct"/>
            <w:vAlign w:val="center"/>
          </w:tcPr>
          <w:p w14:paraId="0CDA3E91">
            <w:pPr>
              <w:widowControl/>
              <w:jc w:val="center"/>
              <w:rPr>
                <w:rFonts w:hint="eastAsia" w:ascii="仿宋_GB2312" w:hAnsi="仿宋_GB2312" w:eastAsia="仿宋_GB2312" w:cs="仿宋_GB2312"/>
                <w:color w:val="auto"/>
                <w:kern w:val="0"/>
                <w:sz w:val="24"/>
                <w:szCs w:val="24"/>
                <w:highlight w:val="none"/>
                <w:lang w:val="en-GB"/>
              </w:rPr>
            </w:pPr>
            <w:r>
              <w:rPr>
                <w:rFonts w:hint="eastAsia" w:ascii="仿宋_GB2312" w:hAnsi="仿宋_GB2312" w:eastAsia="仿宋_GB2312" w:cs="仿宋_GB2312"/>
                <w:color w:val="auto"/>
                <w:kern w:val="0"/>
                <w:sz w:val="24"/>
                <w:szCs w:val="24"/>
                <w:highlight w:val="none"/>
                <w:lang w:val="en-GB"/>
              </w:rPr>
              <w:t>指标名称</w:t>
            </w:r>
          </w:p>
        </w:tc>
        <w:tc>
          <w:tcPr>
            <w:tcW w:w="918" w:type="pct"/>
            <w:vAlign w:val="center"/>
          </w:tcPr>
          <w:p w14:paraId="5D344B8C">
            <w:pPr>
              <w:widowControl/>
              <w:jc w:val="center"/>
              <w:rPr>
                <w:rFonts w:hint="eastAsia" w:ascii="仿宋_GB2312" w:hAnsi="仿宋_GB2312" w:eastAsia="仿宋_GB2312" w:cs="仿宋_GB2312"/>
                <w:color w:val="auto"/>
                <w:kern w:val="0"/>
                <w:sz w:val="24"/>
                <w:szCs w:val="24"/>
                <w:highlight w:val="none"/>
                <w:lang w:val="en-GB"/>
              </w:rPr>
            </w:pPr>
            <w:r>
              <w:rPr>
                <w:rFonts w:hint="eastAsia" w:ascii="仿宋_GB2312" w:hAnsi="仿宋_GB2312" w:eastAsia="仿宋_GB2312" w:cs="仿宋_GB2312"/>
                <w:color w:val="auto"/>
                <w:kern w:val="0"/>
                <w:sz w:val="24"/>
                <w:szCs w:val="24"/>
                <w:highlight w:val="none"/>
                <w:lang w:val="en-GB"/>
              </w:rPr>
              <w:t>量化标准</w:t>
            </w:r>
          </w:p>
        </w:tc>
        <w:tc>
          <w:tcPr>
            <w:tcW w:w="2554" w:type="pct"/>
            <w:vAlign w:val="center"/>
          </w:tcPr>
          <w:p w14:paraId="1BEB77C1">
            <w:pPr>
              <w:widowControl/>
              <w:jc w:val="center"/>
              <w:rPr>
                <w:rFonts w:hint="eastAsia" w:ascii="仿宋_GB2312" w:hAnsi="仿宋_GB2312" w:eastAsia="仿宋_GB2312" w:cs="仿宋_GB2312"/>
                <w:color w:val="auto"/>
                <w:kern w:val="0"/>
                <w:sz w:val="24"/>
                <w:szCs w:val="24"/>
                <w:highlight w:val="none"/>
                <w:lang w:val="en-GB"/>
              </w:rPr>
            </w:pPr>
            <w:r>
              <w:rPr>
                <w:rFonts w:hint="eastAsia" w:ascii="仿宋_GB2312" w:hAnsi="仿宋_GB2312" w:eastAsia="仿宋_GB2312" w:cs="仿宋_GB2312"/>
                <w:color w:val="auto"/>
                <w:kern w:val="0"/>
                <w:sz w:val="24"/>
                <w:szCs w:val="24"/>
                <w:highlight w:val="none"/>
                <w:lang w:val="en-GB"/>
              </w:rPr>
              <w:t>评估方式</w:t>
            </w:r>
          </w:p>
          <w:p w14:paraId="1204EC72">
            <w:pPr>
              <w:widowControl/>
              <w:jc w:val="center"/>
              <w:rPr>
                <w:rFonts w:hint="eastAsia" w:ascii="仿宋_GB2312" w:hAnsi="仿宋_GB2312" w:eastAsia="仿宋_GB2312" w:cs="仿宋_GB2312"/>
                <w:color w:val="auto"/>
                <w:kern w:val="0"/>
                <w:sz w:val="24"/>
                <w:szCs w:val="24"/>
                <w:highlight w:val="none"/>
                <w:lang w:val="en-GB"/>
              </w:rPr>
            </w:pPr>
            <w:r>
              <w:rPr>
                <w:rFonts w:hint="eastAsia" w:ascii="仿宋_GB2312" w:hAnsi="仿宋_GB2312" w:eastAsia="仿宋_GB2312" w:cs="仿宋_GB2312"/>
                <w:color w:val="auto"/>
                <w:kern w:val="0"/>
                <w:sz w:val="24"/>
                <w:szCs w:val="24"/>
                <w:highlight w:val="none"/>
                <w:lang w:val="en-GB"/>
              </w:rPr>
              <w:t>（优100-良80-中60-差0）</w:t>
            </w:r>
          </w:p>
        </w:tc>
        <w:tc>
          <w:tcPr>
            <w:tcW w:w="515" w:type="pct"/>
            <w:vAlign w:val="center"/>
          </w:tcPr>
          <w:p w14:paraId="59362971">
            <w:pPr>
              <w:widowControl/>
              <w:jc w:val="center"/>
              <w:rPr>
                <w:rFonts w:hint="eastAsia" w:ascii="仿宋_GB2312" w:hAnsi="仿宋_GB2312" w:eastAsia="仿宋_GB2312" w:cs="仿宋_GB2312"/>
                <w:color w:val="auto"/>
                <w:kern w:val="0"/>
                <w:sz w:val="24"/>
                <w:szCs w:val="24"/>
                <w:highlight w:val="none"/>
                <w:lang w:val="en-GB"/>
              </w:rPr>
            </w:pPr>
            <w:r>
              <w:rPr>
                <w:rFonts w:hint="eastAsia" w:ascii="仿宋_GB2312" w:hAnsi="仿宋_GB2312" w:eastAsia="仿宋_GB2312" w:cs="仿宋_GB2312"/>
                <w:color w:val="auto"/>
                <w:kern w:val="0"/>
                <w:sz w:val="24"/>
                <w:szCs w:val="24"/>
                <w:highlight w:val="none"/>
                <w:lang w:val="en-GB"/>
              </w:rPr>
              <w:t>指标占比</w:t>
            </w:r>
          </w:p>
        </w:tc>
      </w:tr>
      <w:tr w14:paraId="0B8A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 w:type="pct"/>
            <w:vAlign w:val="center"/>
          </w:tcPr>
          <w:p w14:paraId="28C04EFF">
            <w:pPr>
              <w:widowControl/>
              <w:ind w:firstLine="0" w:firstLineChars="0"/>
              <w:jc w:val="center"/>
              <w:rPr>
                <w:rFonts w:hint="eastAsia" w:ascii="仿宋_GB2312" w:hAnsi="仿宋_GB2312" w:eastAsia="仿宋_GB2312" w:cs="仿宋_GB2312"/>
                <w:color w:val="auto"/>
                <w:kern w:val="0"/>
                <w:sz w:val="24"/>
                <w:szCs w:val="24"/>
                <w:highlight w:val="none"/>
                <w:lang w:val="de-DE" w:eastAsia="zh-CN" w:bidi="ar-SA"/>
              </w:rPr>
            </w:pPr>
            <w:r>
              <w:rPr>
                <w:rFonts w:hint="eastAsia" w:ascii="仿宋_GB2312" w:hAnsi="仿宋_GB2312" w:eastAsia="仿宋_GB2312" w:cs="仿宋_GB2312"/>
                <w:color w:val="auto"/>
                <w:kern w:val="0"/>
                <w:sz w:val="24"/>
                <w:szCs w:val="24"/>
                <w:highlight w:val="none"/>
                <w:lang w:val="de-DE" w:eastAsia="zh-CN" w:bidi="ar-SA"/>
              </w:rPr>
              <w:t>1</w:t>
            </w:r>
          </w:p>
        </w:tc>
        <w:tc>
          <w:tcPr>
            <w:tcW w:w="743" w:type="pct"/>
            <w:vAlign w:val="center"/>
          </w:tcPr>
          <w:p w14:paraId="2750A7AF">
            <w:pPr>
              <w:widowControl/>
              <w:ind w:firstLine="0" w:firstLineChars="0"/>
              <w:jc w:val="center"/>
              <w:rPr>
                <w:rFonts w:hint="eastAsia" w:ascii="仿宋_GB2312" w:hAnsi="仿宋_GB2312" w:eastAsia="仿宋_GB2312" w:cs="仿宋_GB2312"/>
                <w:color w:val="auto"/>
                <w:kern w:val="0"/>
                <w:sz w:val="24"/>
                <w:szCs w:val="24"/>
                <w:highlight w:val="none"/>
                <w:lang w:val="de-DE" w:eastAsia="zh-CN" w:bidi="ar-SA"/>
              </w:rPr>
            </w:pPr>
            <w:r>
              <w:rPr>
                <w:rFonts w:hint="eastAsia" w:ascii="仿宋_GB2312" w:hAnsi="仿宋_GB2312" w:eastAsia="仿宋_GB2312" w:cs="仿宋_GB2312"/>
                <w:color w:val="auto"/>
                <w:kern w:val="0"/>
                <w:sz w:val="24"/>
                <w:szCs w:val="24"/>
                <w:highlight w:val="none"/>
                <w:lang w:val="de-DE" w:eastAsia="zh-CN" w:bidi="ar-SA"/>
              </w:rPr>
              <w:t>本项目进度及计划执行率</w:t>
            </w:r>
          </w:p>
        </w:tc>
        <w:tc>
          <w:tcPr>
            <w:tcW w:w="918" w:type="pct"/>
            <w:vAlign w:val="center"/>
          </w:tcPr>
          <w:p w14:paraId="2EB13CAC">
            <w:pPr>
              <w:widowControl/>
              <w:ind w:firstLine="0" w:firstLineChars="0"/>
              <w:jc w:val="center"/>
              <w:rPr>
                <w:rFonts w:hint="eastAsia" w:ascii="仿宋_GB2312" w:hAnsi="仿宋_GB2312" w:eastAsia="仿宋_GB2312" w:cs="仿宋_GB2312"/>
                <w:color w:val="auto"/>
                <w:kern w:val="0"/>
                <w:sz w:val="24"/>
                <w:szCs w:val="24"/>
                <w:highlight w:val="none"/>
                <w:lang w:val="de-DE" w:eastAsia="zh-CN" w:bidi="ar-SA"/>
              </w:rPr>
            </w:pPr>
            <w:r>
              <w:rPr>
                <w:rFonts w:hint="eastAsia" w:ascii="仿宋_GB2312" w:hAnsi="仿宋_GB2312" w:eastAsia="仿宋_GB2312" w:cs="仿宋_GB2312"/>
                <w:color w:val="auto"/>
                <w:kern w:val="0"/>
                <w:sz w:val="24"/>
                <w:szCs w:val="24"/>
                <w:highlight w:val="none"/>
                <w:lang w:val="de-DE" w:eastAsia="zh-CN" w:bidi="ar-SA"/>
              </w:rPr>
              <w:t>各阶段累计工作延后完成天数/各阶段累计计划天数</w:t>
            </w:r>
          </w:p>
        </w:tc>
        <w:tc>
          <w:tcPr>
            <w:tcW w:w="2554" w:type="pct"/>
            <w:vAlign w:val="center"/>
          </w:tcPr>
          <w:p w14:paraId="7EAEF21F">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1. 计划延误率</w:t>
            </w:r>
            <w:r>
              <w:rPr>
                <w:rFonts w:hint="eastAsia" w:ascii="仿宋_GB2312" w:hAnsi="仿宋_GB2312" w:eastAsia="仿宋_GB2312" w:cs="仿宋_GB2312"/>
                <w:color w:val="auto"/>
                <w:kern w:val="0"/>
                <w:sz w:val="24"/>
                <w:szCs w:val="24"/>
                <w:highlight w:val="none"/>
                <w:lang w:val="en-US" w:eastAsia="zh-CN" w:bidi="ar-SA"/>
              </w:rPr>
              <w:t>为0</w:t>
            </w:r>
            <w:r>
              <w:rPr>
                <w:rFonts w:hint="eastAsia" w:ascii="仿宋_GB2312" w:hAnsi="仿宋_GB2312" w:eastAsia="仿宋_GB2312" w:cs="仿宋_GB2312"/>
                <w:color w:val="auto"/>
                <w:kern w:val="0"/>
                <w:sz w:val="24"/>
                <w:szCs w:val="24"/>
                <w:highlight w:val="none"/>
                <w:lang w:val="en-GB" w:eastAsia="zh-CN" w:bidi="ar-SA"/>
              </w:rPr>
              <w:t xml:space="preserve">        </w:t>
            </w:r>
            <w:r>
              <w:rPr>
                <w:rFonts w:hint="eastAsia" w:ascii="仿宋_GB2312" w:hAnsi="仿宋_GB2312" w:eastAsia="仿宋_GB2312" w:cs="仿宋_GB2312"/>
                <w:color w:val="auto"/>
                <w:kern w:val="0"/>
                <w:sz w:val="24"/>
                <w:szCs w:val="24"/>
                <w:highlight w:val="none"/>
                <w:lang w:val="en-US" w:eastAsia="zh-CN" w:bidi="ar-SA"/>
              </w:rPr>
              <w:t xml:space="preserve"> </w:t>
            </w:r>
            <w:r>
              <w:rPr>
                <w:rFonts w:hint="eastAsia" w:ascii="仿宋_GB2312" w:hAnsi="仿宋_GB2312" w:eastAsia="仿宋_GB2312" w:cs="仿宋_GB2312"/>
                <w:color w:val="auto"/>
                <w:kern w:val="0"/>
                <w:sz w:val="24"/>
                <w:szCs w:val="24"/>
                <w:highlight w:val="none"/>
                <w:lang w:val="en-GB" w:eastAsia="zh-CN" w:bidi="ar-SA"/>
              </w:rPr>
              <w:t>优</w:t>
            </w:r>
          </w:p>
          <w:p w14:paraId="10F16A43">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 xml:space="preserve">2. </w:t>
            </w:r>
            <w:r>
              <w:rPr>
                <w:rFonts w:hint="eastAsia" w:ascii="仿宋_GB2312" w:hAnsi="仿宋_GB2312" w:eastAsia="仿宋_GB2312" w:cs="仿宋_GB2312"/>
                <w:color w:val="auto"/>
                <w:kern w:val="0"/>
                <w:sz w:val="24"/>
                <w:szCs w:val="24"/>
                <w:highlight w:val="none"/>
                <w:lang w:val="en-US" w:eastAsia="zh-CN" w:bidi="ar-SA"/>
              </w:rPr>
              <w:t>0</w:t>
            </w:r>
            <w:r>
              <w:rPr>
                <w:rFonts w:hint="eastAsia" w:ascii="仿宋_GB2312" w:hAnsi="仿宋_GB2312" w:eastAsia="仿宋_GB2312" w:cs="仿宋_GB2312"/>
                <w:color w:val="auto"/>
                <w:kern w:val="0"/>
                <w:sz w:val="24"/>
                <w:szCs w:val="24"/>
                <w:highlight w:val="none"/>
                <w:lang w:val="en-GB" w:eastAsia="zh-CN" w:bidi="ar-SA"/>
              </w:rPr>
              <w:t>＜计划延误率≤</w:t>
            </w:r>
            <w:r>
              <w:rPr>
                <w:rFonts w:hint="eastAsia" w:ascii="仿宋_GB2312" w:hAnsi="仿宋_GB2312" w:eastAsia="仿宋_GB2312" w:cs="仿宋_GB2312"/>
                <w:color w:val="auto"/>
                <w:kern w:val="0"/>
                <w:sz w:val="24"/>
                <w:szCs w:val="24"/>
                <w:highlight w:val="none"/>
                <w:lang w:val="en-US" w:eastAsia="zh-CN" w:bidi="ar-SA"/>
              </w:rPr>
              <w:t>1</w:t>
            </w:r>
            <w:r>
              <w:rPr>
                <w:rFonts w:hint="eastAsia" w:ascii="仿宋_GB2312" w:hAnsi="仿宋_GB2312" w:eastAsia="仿宋_GB2312" w:cs="仿宋_GB2312"/>
                <w:color w:val="auto"/>
                <w:kern w:val="0"/>
                <w:sz w:val="24"/>
                <w:szCs w:val="24"/>
                <w:highlight w:val="none"/>
                <w:lang w:val="en-GB" w:eastAsia="zh-CN" w:bidi="ar-SA"/>
              </w:rPr>
              <w:t xml:space="preserve">%   </w:t>
            </w:r>
            <w:r>
              <w:rPr>
                <w:rFonts w:hint="eastAsia" w:ascii="仿宋_GB2312" w:hAnsi="仿宋_GB2312" w:eastAsia="仿宋_GB2312" w:cs="仿宋_GB2312"/>
                <w:color w:val="auto"/>
                <w:kern w:val="0"/>
                <w:sz w:val="24"/>
                <w:szCs w:val="24"/>
                <w:highlight w:val="none"/>
                <w:lang w:val="en-US" w:eastAsia="zh-CN" w:bidi="ar-SA"/>
              </w:rPr>
              <w:t xml:space="preserve">  </w:t>
            </w:r>
            <w:r>
              <w:rPr>
                <w:rFonts w:hint="eastAsia" w:ascii="仿宋_GB2312" w:hAnsi="仿宋_GB2312" w:eastAsia="仿宋_GB2312" w:cs="仿宋_GB2312"/>
                <w:color w:val="auto"/>
                <w:kern w:val="0"/>
                <w:sz w:val="24"/>
                <w:szCs w:val="24"/>
                <w:highlight w:val="none"/>
                <w:lang w:val="en-GB" w:eastAsia="zh-CN" w:bidi="ar-SA"/>
              </w:rPr>
              <w:t>良</w:t>
            </w:r>
          </w:p>
          <w:p w14:paraId="5D701590">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3.</w:t>
            </w:r>
            <w:r>
              <w:rPr>
                <w:rFonts w:hint="eastAsia" w:ascii="仿宋_GB2312" w:hAnsi="仿宋_GB2312" w:eastAsia="仿宋_GB2312" w:cs="仿宋_GB2312"/>
                <w:color w:val="auto"/>
                <w:kern w:val="0"/>
                <w:sz w:val="24"/>
                <w:szCs w:val="24"/>
                <w:highlight w:val="none"/>
                <w:lang w:val="en-US" w:eastAsia="zh-CN" w:bidi="ar-SA"/>
              </w:rPr>
              <w:t xml:space="preserve"> 1</w:t>
            </w:r>
            <w:r>
              <w:rPr>
                <w:rFonts w:hint="eastAsia" w:ascii="仿宋_GB2312" w:hAnsi="仿宋_GB2312" w:eastAsia="仿宋_GB2312" w:cs="仿宋_GB2312"/>
                <w:color w:val="auto"/>
                <w:kern w:val="0"/>
                <w:sz w:val="24"/>
                <w:szCs w:val="24"/>
                <w:highlight w:val="none"/>
                <w:lang w:val="en-GB" w:eastAsia="zh-CN" w:bidi="ar-SA"/>
              </w:rPr>
              <w:t>%＜计划延误率≤</w:t>
            </w:r>
            <w:r>
              <w:rPr>
                <w:rFonts w:hint="eastAsia" w:ascii="仿宋_GB2312" w:hAnsi="仿宋_GB2312" w:eastAsia="仿宋_GB2312" w:cs="仿宋_GB2312"/>
                <w:color w:val="auto"/>
                <w:kern w:val="0"/>
                <w:sz w:val="24"/>
                <w:szCs w:val="24"/>
                <w:highlight w:val="none"/>
                <w:lang w:val="en-US" w:eastAsia="zh-CN" w:bidi="ar-SA"/>
              </w:rPr>
              <w:t>3</w:t>
            </w:r>
            <w:r>
              <w:rPr>
                <w:rFonts w:hint="eastAsia" w:ascii="仿宋_GB2312" w:hAnsi="仿宋_GB2312" w:eastAsia="仿宋_GB2312" w:cs="仿宋_GB2312"/>
                <w:color w:val="auto"/>
                <w:kern w:val="0"/>
                <w:sz w:val="24"/>
                <w:szCs w:val="24"/>
                <w:highlight w:val="none"/>
                <w:lang w:val="en-GB" w:eastAsia="zh-CN" w:bidi="ar-SA"/>
              </w:rPr>
              <w:t xml:space="preserve">%  </w:t>
            </w:r>
            <w:r>
              <w:rPr>
                <w:rFonts w:hint="eastAsia" w:ascii="仿宋_GB2312" w:hAnsi="仿宋_GB2312" w:eastAsia="仿宋_GB2312" w:cs="仿宋_GB2312"/>
                <w:color w:val="auto"/>
                <w:kern w:val="0"/>
                <w:sz w:val="24"/>
                <w:szCs w:val="24"/>
                <w:highlight w:val="none"/>
                <w:lang w:val="en-US" w:eastAsia="zh-CN" w:bidi="ar-SA"/>
              </w:rPr>
              <w:t xml:space="preserve">  </w:t>
            </w:r>
            <w:r>
              <w:rPr>
                <w:rFonts w:hint="eastAsia" w:ascii="仿宋_GB2312" w:hAnsi="仿宋_GB2312" w:eastAsia="仿宋_GB2312" w:cs="仿宋_GB2312"/>
                <w:color w:val="auto"/>
                <w:kern w:val="0"/>
                <w:sz w:val="24"/>
                <w:szCs w:val="24"/>
                <w:highlight w:val="none"/>
                <w:lang w:val="en-GB" w:eastAsia="zh-CN" w:bidi="ar-SA"/>
              </w:rPr>
              <w:t>中</w:t>
            </w:r>
          </w:p>
          <w:p w14:paraId="53083524">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4.</w:t>
            </w:r>
            <w:r>
              <w:rPr>
                <w:rFonts w:hint="eastAsia" w:ascii="仿宋_GB2312" w:hAnsi="仿宋_GB2312" w:eastAsia="仿宋_GB2312" w:cs="仿宋_GB2312"/>
                <w:color w:val="auto"/>
                <w:kern w:val="0"/>
                <w:sz w:val="24"/>
                <w:szCs w:val="24"/>
                <w:highlight w:val="none"/>
                <w:lang w:val="en-US" w:eastAsia="zh-CN" w:bidi="ar-SA"/>
              </w:rPr>
              <w:t xml:space="preserve"> 3</w:t>
            </w:r>
            <w:r>
              <w:rPr>
                <w:rFonts w:hint="eastAsia" w:ascii="仿宋_GB2312" w:hAnsi="仿宋_GB2312" w:eastAsia="仿宋_GB2312" w:cs="仿宋_GB2312"/>
                <w:color w:val="auto"/>
                <w:kern w:val="0"/>
                <w:sz w:val="24"/>
                <w:szCs w:val="24"/>
                <w:highlight w:val="none"/>
                <w:lang w:val="en-GB" w:eastAsia="zh-CN" w:bidi="ar-SA"/>
              </w:rPr>
              <w:t xml:space="preserve">%＜计划延误率       </w:t>
            </w:r>
            <w:r>
              <w:rPr>
                <w:rFonts w:hint="eastAsia" w:ascii="仿宋_GB2312" w:hAnsi="仿宋_GB2312" w:eastAsia="仿宋_GB2312" w:cs="仿宋_GB2312"/>
                <w:color w:val="auto"/>
                <w:kern w:val="0"/>
                <w:sz w:val="24"/>
                <w:szCs w:val="24"/>
                <w:highlight w:val="none"/>
                <w:lang w:val="en-US" w:eastAsia="zh-CN" w:bidi="ar-SA"/>
              </w:rPr>
              <w:t xml:space="preserve"> </w:t>
            </w:r>
            <w:r>
              <w:rPr>
                <w:rFonts w:hint="eastAsia" w:ascii="仿宋_GB2312" w:hAnsi="仿宋_GB2312" w:eastAsia="仿宋_GB2312" w:cs="仿宋_GB2312"/>
                <w:color w:val="auto"/>
                <w:kern w:val="0"/>
                <w:sz w:val="24"/>
                <w:szCs w:val="24"/>
                <w:highlight w:val="none"/>
                <w:lang w:val="en-GB" w:eastAsia="zh-CN" w:bidi="ar-SA"/>
              </w:rPr>
              <w:t>差</w:t>
            </w:r>
          </w:p>
        </w:tc>
        <w:tc>
          <w:tcPr>
            <w:tcW w:w="515" w:type="pct"/>
            <w:vAlign w:val="center"/>
          </w:tcPr>
          <w:p w14:paraId="12F11663">
            <w:pPr>
              <w:widowControl/>
              <w:ind w:firstLine="0" w:firstLineChars="0"/>
              <w:jc w:val="center"/>
              <w:rPr>
                <w:rFonts w:hint="eastAsia" w:ascii="仿宋_GB2312" w:hAnsi="仿宋_GB2312" w:eastAsia="仿宋_GB2312" w:cs="仿宋_GB2312"/>
                <w:color w:val="auto"/>
                <w:kern w:val="0"/>
                <w:sz w:val="24"/>
                <w:szCs w:val="24"/>
                <w:highlight w:val="none"/>
                <w:lang w:val="de-DE" w:eastAsia="zh-CN" w:bidi="ar-SA"/>
              </w:rPr>
            </w:pPr>
            <w:r>
              <w:rPr>
                <w:rFonts w:hint="eastAsia" w:ascii="仿宋_GB2312" w:hAnsi="仿宋_GB2312" w:eastAsia="仿宋_GB2312" w:cs="仿宋_GB2312"/>
                <w:color w:val="auto"/>
                <w:kern w:val="0"/>
                <w:sz w:val="24"/>
                <w:szCs w:val="24"/>
                <w:highlight w:val="none"/>
                <w:lang w:val="en-US" w:eastAsia="zh-CN" w:bidi="ar-SA"/>
              </w:rPr>
              <w:t>4</w:t>
            </w:r>
            <w:r>
              <w:rPr>
                <w:rFonts w:hint="eastAsia" w:ascii="仿宋_GB2312" w:hAnsi="仿宋_GB2312" w:eastAsia="仿宋_GB2312" w:cs="仿宋_GB2312"/>
                <w:color w:val="auto"/>
                <w:kern w:val="0"/>
                <w:sz w:val="24"/>
                <w:szCs w:val="24"/>
                <w:highlight w:val="none"/>
                <w:lang w:val="de-DE" w:eastAsia="zh-CN" w:bidi="ar-SA"/>
              </w:rPr>
              <w:t>0%</w:t>
            </w:r>
          </w:p>
        </w:tc>
      </w:tr>
      <w:tr w14:paraId="7EE9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 w:type="pct"/>
            <w:vAlign w:val="center"/>
          </w:tcPr>
          <w:p w14:paraId="1314BC80">
            <w:pPr>
              <w:widowControl/>
              <w:ind w:firstLine="0" w:firstLineChars="0"/>
              <w:jc w:val="center"/>
              <w:rPr>
                <w:rFonts w:hint="eastAsia" w:ascii="仿宋_GB2312" w:hAnsi="仿宋_GB2312" w:eastAsia="仿宋_GB2312" w:cs="仿宋_GB2312"/>
                <w:color w:val="auto"/>
                <w:kern w:val="0"/>
                <w:sz w:val="24"/>
                <w:szCs w:val="24"/>
                <w:highlight w:val="none"/>
                <w:lang w:val="de-DE" w:eastAsia="zh-CN" w:bidi="ar-SA"/>
              </w:rPr>
            </w:pPr>
            <w:r>
              <w:rPr>
                <w:rFonts w:hint="eastAsia" w:ascii="仿宋_GB2312" w:hAnsi="仿宋_GB2312" w:eastAsia="仿宋_GB2312" w:cs="仿宋_GB2312"/>
                <w:color w:val="auto"/>
                <w:kern w:val="0"/>
                <w:sz w:val="24"/>
                <w:szCs w:val="24"/>
                <w:highlight w:val="none"/>
                <w:lang w:val="de-DE" w:eastAsia="zh-CN" w:bidi="ar-SA"/>
              </w:rPr>
              <w:t>2</w:t>
            </w:r>
          </w:p>
        </w:tc>
        <w:tc>
          <w:tcPr>
            <w:tcW w:w="743" w:type="pct"/>
            <w:vAlign w:val="center"/>
          </w:tcPr>
          <w:p w14:paraId="4910DB24">
            <w:pPr>
              <w:widowControl/>
              <w:ind w:firstLine="0" w:firstLineChars="0"/>
              <w:jc w:val="center"/>
              <w:rPr>
                <w:rFonts w:hint="eastAsia" w:ascii="仿宋_GB2312" w:hAnsi="仿宋_GB2312" w:eastAsia="仿宋_GB2312" w:cs="仿宋_GB2312"/>
                <w:color w:val="auto"/>
                <w:kern w:val="0"/>
                <w:sz w:val="24"/>
                <w:szCs w:val="24"/>
                <w:highlight w:val="none"/>
                <w:lang w:val="de-DE" w:eastAsia="zh-CN" w:bidi="ar-SA"/>
              </w:rPr>
            </w:pPr>
            <w:r>
              <w:rPr>
                <w:rFonts w:hint="eastAsia" w:ascii="仿宋_GB2312" w:hAnsi="仿宋_GB2312" w:eastAsia="仿宋_GB2312" w:cs="仿宋_GB2312"/>
                <w:color w:val="auto"/>
                <w:kern w:val="0"/>
                <w:sz w:val="24"/>
                <w:szCs w:val="24"/>
                <w:highlight w:val="none"/>
                <w:lang w:val="de-DE" w:eastAsia="zh-CN" w:bidi="ar-SA"/>
              </w:rPr>
              <w:t>项目投产后问题数量</w:t>
            </w:r>
          </w:p>
        </w:tc>
        <w:tc>
          <w:tcPr>
            <w:tcW w:w="918" w:type="pct"/>
            <w:vAlign w:val="center"/>
          </w:tcPr>
          <w:p w14:paraId="42F096E8">
            <w:pPr>
              <w:widowControl/>
              <w:ind w:firstLine="0" w:firstLineChars="0"/>
              <w:jc w:val="center"/>
              <w:rPr>
                <w:rFonts w:hint="eastAsia" w:ascii="仿宋_GB2312" w:hAnsi="仿宋_GB2312" w:eastAsia="仿宋_GB2312" w:cs="仿宋_GB2312"/>
                <w:color w:val="auto"/>
                <w:kern w:val="0"/>
                <w:sz w:val="24"/>
                <w:szCs w:val="24"/>
                <w:highlight w:val="none"/>
                <w:lang w:val="de-DE" w:eastAsia="zh-CN" w:bidi="ar-SA"/>
              </w:rPr>
            </w:pPr>
            <w:r>
              <w:rPr>
                <w:rFonts w:hint="eastAsia" w:ascii="仿宋_GB2312" w:hAnsi="仿宋_GB2312" w:eastAsia="仿宋_GB2312" w:cs="仿宋_GB2312"/>
                <w:color w:val="auto"/>
                <w:kern w:val="0"/>
                <w:sz w:val="24"/>
                <w:szCs w:val="24"/>
                <w:highlight w:val="none"/>
                <w:lang w:val="de-DE" w:eastAsia="zh-CN" w:bidi="ar-SA"/>
              </w:rPr>
              <w:t>投产后至验收时累计问题数</w:t>
            </w:r>
          </w:p>
        </w:tc>
        <w:tc>
          <w:tcPr>
            <w:tcW w:w="2554" w:type="pct"/>
            <w:vAlign w:val="center"/>
          </w:tcPr>
          <w:p w14:paraId="03D8AFF1">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1.每100功能点每</w:t>
            </w:r>
            <w:r>
              <w:rPr>
                <w:rFonts w:hint="eastAsia" w:ascii="仿宋_GB2312" w:hAnsi="仿宋_GB2312" w:eastAsia="仿宋_GB2312" w:cs="仿宋_GB2312"/>
                <w:color w:val="auto"/>
                <w:kern w:val="0"/>
                <w:sz w:val="24"/>
                <w:szCs w:val="24"/>
                <w:highlight w:val="none"/>
                <w:lang w:val="en-US" w:eastAsia="zh-CN" w:bidi="ar-SA"/>
              </w:rPr>
              <w:t>3</w:t>
            </w:r>
            <w:r>
              <w:rPr>
                <w:rFonts w:hint="eastAsia" w:ascii="仿宋_GB2312" w:hAnsi="仿宋_GB2312" w:eastAsia="仿宋_GB2312" w:cs="仿宋_GB2312"/>
                <w:color w:val="auto"/>
                <w:kern w:val="0"/>
                <w:sz w:val="24"/>
                <w:szCs w:val="24"/>
                <w:highlight w:val="none"/>
                <w:lang w:val="en-GB" w:eastAsia="zh-CN" w:bidi="ar-SA"/>
              </w:rPr>
              <w:t>月发现问题数</w:t>
            </w:r>
            <w:r>
              <w:rPr>
                <w:rFonts w:hint="eastAsia" w:ascii="仿宋_GB2312" w:hAnsi="仿宋_GB2312" w:eastAsia="仿宋_GB2312" w:cs="仿宋_GB2312"/>
                <w:color w:val="auto"/>
                <w:kern w:val="0"/>
                <w:sz w:val="24"/>
                <w:szCs w:val="24"/>
                <w:highlight w:val="none"/>
                <w:lang w:val="en-US" w:eastAsia="zh-CN" w:bidi="ar-SA"/>
              </w:rPr>
              <w:t>+每3月发现影响银行实体下问题数</w:t>
            </w:r>
            <w:r>
              <w:rPr>
                <w:rFonts w:hint="eastAsia" w:ascii="仿宋_GB2312" w:hAnsi="仿宋_GB2312" w:eastAsia="仿宋_GB2312" w:cs="仿宋_GB2312"/>
                <w:color w:val="auto"/>
                <w:kern w:val="0"/>
                <w:sz w:val="24"/>
                <w:szCs w:val="24"/>
                <w:highlight w:val="none"/>
                <w:lang w:val="en-GB" w:eastAsia="zh-CN" w:bidi="ar-SA"/>
              </w:rPr>
              <w:t>&lt;</w:t>
            </w:r>
            <w:r>
              <w:rPr>
                <w:rFonts w:hint="eastAsia" w:ascii="仿宋_GB2312" w:hAnsi="仿宋_GB2312" w:eastAsia="仿宋_GB2312" w:cs="仿宋_GB2312"/>
                <w:color w:val="auto"/>
                <w:kern w:val="0"/>
                <w:sz w:val="24"/>
                <w:szCs w:val="24"/>
                <w:highlight w:val="none"/>
                <w:lang w:val="en-US" w:eastAsia="zh-CN" w:bidi="ar-SA"/>
              </w:rPr>
              <w:t>2</w:t>
            </w:r>
            <w:r>
              <w:rPr>
                <w:rFonts w:hint="eastAsia" w:ascii="仿宋_GB2312" w:hAnsi="仿宋_GB2312" w:eastAsia="仿宋_GB2312" w:cs="仿宋_GB2312"/>
                <w:color w:val="auto"/>
                <w:kern w:val="0"/>
                <w:sz w:val="24"/>
                <w:szCs w:val="24"/>
                <w:highlight w:val="none"/>
                <w:lang w:val="en-GB" w:eastAsia="zh-CN" w:bidi="ar-SA"/>
              </w:rPr>
              <w:t xml:space="preserve">  优</w:t>
            </w:r>
          </w:p>
          <w:p w14:paraId="20B03323">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2.每100功能点每</w:t>
            </w:r>
            <w:r>
              <w:rPr>
                <w:rFonts w:hint="eastAsia" w:ascii="仿宋_GB2312" w:hAnsi="仿宋_GB2312" w:eastAsia="仿宋_GB2312" w:cs="仿宋_GB2312"/>
                <w:color w:val="auto"/>
                <w:kern w:val="0"/>
                <w:sz w:val="24"/>
                <w:szCs w:val="24"/>
                <w:highlight w:val="none"/>
                <w:lang w:val="en-US" w:eastAsia="zh-CN" w:bidi="ar-SA"/>
              </w:rPr>
              <w:t>3</w:t>
            </w:r>
            <w:r>
              <w:rPr>
                <w:rFonts w:hint="eastAsia" w:ascii="仿宋_GB2312" w:hAnsi="仿宋_GB2312" w:eastAsia="仿宋_GB2312" w:cs="仿宋_GB2312"/>
                <w:color w:val="auto"/>
                <w:kern w:val="0"/>
                <w:sz w:val="24"/>
                <w:szCs w:val="24"/>
                <w:highlight w:val="none"/>
                <w:lang w:val="en-GB" w:eastAsia="zh-CN" w:bidi="ar-SA"/>
              </w:rPr>
              <w:t>月发现问题数</w:t>
            </w:r>
            <w:r>
              <w:rPr>
                <w:rFonts w:hint="eastAsia" w:ascii="仿宋_GB2312" w:hAnsi="仿宋_GB2312" w:eastAsia="仿宋_GB2312" w:cs="仿宋_GB2312"/>
                <w:color w:val="auto"/>
                <w:kern w:val="0"/>
                <w:sz w:val="24"/>
                <w:szCs w:val="24"/>
                <w:highlight w:val="none"/>
                <w:lang w:val="en-US" w:eastAsia="zh-CN" w:bidi="ar-SA"/>
              </w:rPr>
              <w:t>+每3月发现影响银行实体下问题数</w:t>
            </w:r>
            <w:r>
              <w:rPr>
                <w:rFonts w:hint="eastAsia" w:ascii="仿宋_GB2312" w:hAnsi="仿宋_GB2312" w:eastAsia="仿宋_GB2312" w:cs="仿宋_GB2312"/>
                <w:color w:val="auto"/>
                <w:kern w:val="0"/>
                <w:sz w:val="24"/>
                <w:szCs w:val="24"/>
                <w:highlight w:val="none"/>
                <w:lang w:val="en-GB" w:eastAsia="zh-CN" w:bidi="ar-SA"/>
              </w:rPr>
              <w:t>&lt;=</w:t>
            </w:r>
            <w:r>
              <w:rPr>
                <w:rFonts w:hint="eastAsia" w:ascii="仿宋_GB2312" w:hAnsi="仿宋_GB2312" w:eastAsia="仿宋_GB2312" w:cs="仿宋_GB2312"/>
                <w:color w:val="auto"/>
                <w:kern w:val="0"/>
                <w:sz w:val="24"/>
                <w:szCs w:val="24"/>
                <w:highlight w:val="none"/>
                <w:lang w:val="en-US" w:eastAsia="zh-CN" w:bidi="ar-SA"/>
              </w:rPr>
              <w:t>5</w:t>
            </w:r>
            <w:r>
              <w:rPr>
                <w:rFonts w:hint="eastAsia" w:ascii="仿宋_GB2312" w:hAnsi="仿宋_GB2312" w:eastAsia="仿宋_GB2312" w:cs="仿宋_GB2312"/>
                <w:color w:val="auto"/>
                <w:kern w:val="0"/>
                <w:sz w:val="24"/>
                <w:szCs w:val="24"/>
                <w:highlight w:val="none"/>
                <w:lang w:val="en-GB" w:eastAsia="zh-CN" w:bidi="ar-SA"/>
              </w:rPr>
              <w:t>良</w:t>
            </w:r>
          </w:p>
          <w:p w14:paraId="6A771EF4">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3.每100功能点每</w:t>
            </w:r>
            <w:r>
              <w:rPr>
                <w:rFonts w:hint="eastAsia" w:ascii="仿宋_GB2312" w:hAnsi="仿宋_GB2312" w:eastAsia="仿宋_GB2312" w:cs="仿宋_GB2312"/>
                <w:color w:val="auto"/>
                <w:kern w:val="0"/>
                <w:sz w:val="24"/>
                <w:szCs w:val="24"/>
                <w:highlight w:val="none"/>
                <w:lang w:val="en-US" w:eastAsia="zh-CN" w:bidi="ar-SA"/>
              </w:rPr>
              <w:t>3</w:t>
            </w:r>
            <w:r>
              <w:rPr>
                <w:rFonts w:hint="eastAsia" w:ascii="仿宋_GB2312" w:hAnsi="仿宋_GB2312" w:eastAsia="仿宋_GB2312" w:cs="仿宋_GB2312"/>
                <w:color w:val="auto"/>
                <w:kern w:val="0"/>
                <w:sz w:val="24"/>
                <w:szCs w:val="24"/>
                <w:highlight w:val="none"/>
                <w:lang w:val="en-GB" w:eastAsia="zh-CN" w:bidi="ar-SA"/>
              </w:rPr>
              <w:t>月发现问题数</w:t>
            </w:r>
            <w:r>
              <w:rPr>
                <w:rFonts w:hint="eastAsia" w:ascii="仿宋_GB2312" w:hAnsi="仿宋_GB2312" w:eastAsia="仿宋_GB2312" w:cs="仿宋_GB2312"/>
                <w:color w:val="auto"/>
                <w:kern w:val="0"/>
                <w:sz w:val="24"/>
                <w:szCs w:val="24"/>
                <w:highlight w:val="none"/>
                <w:lang w:val="en-US" w:eastAsia="zh-CN" w:bidi="ar-SA"/>
              </w:rPr>
              <w:t>+每3月发现影响银行实体下问题数</w:t>
            </w:r>
            <w:r>
              <w:rPr>
                <w:rFonts w:hint="eastAsia" w:ascii="仿宋_GB2312" w:hAnsi="仿宋_GB2312" w:eastAsia="仿宋_GB2312" w:cs="仿宋_GB2312"/>
                <w:color w:val="auto"/>
                <w:kern w:val="0"/>
                <w:sz w:val="24"/>
                <w:szCs w:val="24"/>
                <w:highlight w:val="none"/>
                <w:lang w:val="en-GB" w:eastAsia="zh-CN" w:bidi="ar-SA"/>
              </w:rPr>
              <w:t>&lt;=1</w:t>
            </w:r>
            <w:r>
              <w:rPr>
                <w:rFonts w:hint="eastAsia" w:ascii="仿宋_GB2312" w:hAnsi="仿宋_GB2312" w:eastAsia="仿宋_GB2312" w:cs="仿宋_GB2312"/>
                <w:color w:val="auto"/>
                <w:kern w:val="0"/>
                <w:sz w:val="24"/>
                <w:szCs w:val="24"/>
                <w:highlight w:val="none"/>
                <w:lang w:val="en-US" w:eastAsia="zh-CN" w:bidi="ar-SA"/>
              </w:rPr>
              <w:t>0</w:t>
            </w:r>
            <w:r>
              <w:rPr>
                <w:rFonts w:hint="eastAsia" w:ascii="仿宋_GB2312" w:hAnsi="仿宋_GB2312" w:eastAsia="仿宋_GB2312" w:cs="仿宋_GB2312"/>
                <w:color w:val="auto"/>
                <w:kern w:val="0"/>
                <w:sz w:val="24"/>
                <w:szCs w:val="24"/>
                <w:highlight w:val="none"/>
                <w:lang w:val="en-GB" w:eastAsia="zh-CN" w:bidi="ar-SA"/>
              </w:rPr>
              <w:t>中</w:t>
            </w:r>
          </w:p>
          <w:p w14:paraId="0F29B62F">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4.每100功能点每</w:t>
            </w:r>
            <w:r>
              <w:rPr>
                <w:rFonts w:hint="eastAsia" w:ascii="仿宋_GB2312" w:hAnsi="仿宋_GB2312" w:eastAsia="仿宋_GB2312" w:cs="仿宋_GB2312"/>
                <w:color w:val="auto"/>
                <w:kern w:val="0"/>
                <w:sz w:val="24"/>
                <w:szCs w:val="24"/>
                <w:highlight w:val="none"/>
                <w:lang w:val="en-US" w:eastAsia="zh-CN" w:bidi="ar-SA"/>
              </w:rPr>
              <w:t>3</w:t>
            </w:r>
            <w:r>
              <w:rPr>
                <w:rFonts w:hint="eastAsia" w:ascii="仿宋_GB2312" w:hAnsi="仿宋_GB2312" w:eastAsia="仿宋_GB2312" w:cs="仿宋_GB2312"/>
                <w:color w:val="auto"/>
                <w:kern w:val="0"/>
                <w:sz w:val="24"/>
                <w:szCs w:val="24"/>
                <w:highlight w:val="none"/>
                <w:lang w:val="en-GB" w:eastAsia="zh-CN" w:bidi="ar-SA"/>
              </w:rPr>
              <w:t>月发现问题数</w:t>
            </w:r>
            <w:r>
              <w:rPr>
                <w:rFonts w:hint="eastAsia" w:ascii="仿宋_GB2312" w:hAnsi="仿宋_GB2312" w:eastAsia="仿宋_GB2312" w:cs="仿宋_GB2312"/>
                <w:color w:val="auto"/>
                <w:kern w:val="0"/>
                <w:sz w:val="24"/>
                <w:szCs w:val="24"/>
                <w:highlight w:val="none"/>
                <w:lang w:val="en-US" w:eastAsia="zh-CN" w:bidi="ar-SA"/>
              </w:rPr>
              <w:t>+每3月发现影响银行实体下问题数</w:t>
            </w:r>
            <w:r>
              <w:rPr>
                <w:rFonts w:hint="eastAsia" w:ascii="仿宋_GB2312" w:hAnsi="仿宋_GB2312" w:eastAsia="仿宋_GB2312" w:cs="仿宋_GB2312"/>
                <w:color w:val="auto"/>
                <w:kern w:val="0"/>
                <w:sz w:val="24"/>
                <w:szCs w:val="24"/>
                <w:highlight w:val="none"/>
                <w:lang w:val="en-GB" w:eastAsia="zh-CN" w:bidi="ar-SA"/>
              </w:rPr>
              <w:t>&gt;1</w:t>
            </w:r>
            <w:r>
              <w:rPr>
                <w:rFonts w:hint="eastAsia" w:ascii="仿宋_GB2312" w:hAnsi="仿宋_GB2312" w:eastAsia="仿宋_GB2312" w:cs="仿宋_GB2312"/>
                <w:color w:val="auto"/>
                <w:kern w:val="0"/>
                <w:sz w:val="24"/>
                <w:szCs w:val="24"/>
                <w:highlight w:val="none"/>
                <w:lang w:val="en-US" w:eastAsia="zh-CN" w:bidi="ar-SA"/>
              </w:rPr>
              <w:t>0</w:t>
            </w:r>
            <w:r>
              <w:rPr>
                <w:rFonts w:hint="eastAsia" w:ascii="仿宋_GB2312" w:hAnsi="仿宋_GB2312" w:eastAsia="仿宋_GB2312" w:cs="仿宋_GB2312"/>
                <w:color w:val="auto"/>
                <w:kern w:val="0"/>
                <w:sz w:val="24"/>
                <w:szCs w:val="24"/>
                <w:highlight w:val="none"/>
                <w:lang w:val="en-GB" w:eastAsia="zh-CN" w:bidi="ar-SA"/>
              </w:rPr>
              <w:t xml:space="preserve">  差</w:t>
            </w:r>
          </w:p>
        </w:tc>
        <w:tc>
          <w:tcPr>
            <w:tcW w:w="515" w:type="pct"/>
            <w:vAlign w:val="center"/>
          </w:tcPr>
          <w:p w14:paraId="56945A83">
            <w:pPr>
              <w:widowControl/>
              <w:ind w:firstLine="0" w:firstLineChars="0"/>
              <w:jc w:val="center"/>
              <w:rPr>
                <w:rFonts w:hint="eastAsia" w:ascii="仿宋_GB2312" w:hAnsi="仿宋_GB2312" w:eastAsia="仿宋_GB2312" w:cs="仿宋_GB2312"/>
                <w:color w:val="auto"/>
                <w:kern w:val="0"/>
                <w:sz w:val="24"/>
                <w:szCs w:val="24"/>
                <w:highlight w:val="none"/>
                <w:lang w:val="de-DE" w:eastAsia="zh-CN" w:bidi="ar-SA"/>
              </w:rPr>
            </w:pPr>
            <w:r>
              <w:rPr>
                <w:rFonts w:hint="eastAsia" w:ascii="仿宋_GB2312" w:hAnsi="仿宋_GB2312" w:eastAsia="仿宋_GB2312" w:cs="仿宋_GB2312"/>
                <w:color w:val="auto"/>
                <w:kern w:val="0"/>
                <w:sz w:val="24"/>
                <w:szCs w:val="24"/>
                <w:highlight w:val="none"/>
                <w:lang w:val="en-US" w:eastAsia="zh-CN" w:bidi="ar-SA"/>
              </w:rPr>
              <w:t>3</w:t>
            </w:r>
            <w:r>
              <w:rPr>
                <w:rFonts w:hint="eastAsia" w:ascii="仿宋_GB2312" w:hAnsi="仿宋_GB2312" w:eastAsia="仿宋_GB2312" w:cs="仿宋_GB2312"/>
                <w:color w:val="auto"/>
                <w:kern w:val="0"/>
                <w:sz w:val="24"/>
                <w:szCs w:val="24"/>
                <w:highlight w:val="none"/>
                <w:lang w:val="de-DE" w:eastAsia="zh-CN" w:bidi="ar-SA"/>
              </w:rPr>
              <w:t>0%</w:t>
            </w:r>
          </w:p>
        </w:tc>
      </w:tr>
      <w:tr w14:paraId="1FA6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 w:type="pct"/>
            <w:vAlign w:val="center"/>
          </w:tcPr>
          <w:p w14:paraId="6CD0F143">
            <w:pPr>
              <w:widowControl/>
              <w:ind w:firstLine="0" w:firstLineChars="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3</w:t>
            </w:r>
          </w:p>
        </w:tc>
        <w:tc>
          <w:tcPr>
            <w:tcW w:w="743" w:type="pct"/>
            <w:vAlign w:val="center"/>
          </w:tcPr>
          <w:p w14:paraId="1EB94DED">
            <w:pPr>
              <w:widowControl/>
              <w:ind w:firstLine="0" w:firstLineChars="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工单未及时处理率</w:t>
            </w:r>
          </w:p>
        </w:tc>
        <w:tc>
          <w:tcPr>
            <w:tcW w:w="918" w:type="pct"/>
            <w:vAlign w:val="center"/>
          </w:tcPr>
          <w:p w14:paraId="25C83F53">
            <w:pPr>
              <w:widowControl/>
              <w:ind w:firstLine="0" w:firstLineChars="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工单处理时长超一个月工单数量/总工单数量</w:t>
            </w:r>
          </w:p>
        </w:tc>
        <w:tc>
          <w:tcPr>
            <w:tcW w:w="2554" w:type="pct"/>
            <w:vAlign w:val="center"/>
          </w:tcPr>
          <w:p w14:paraId="014DF54E">
            <w:pPr>
              <w:widowControl/>
              <w:ind w:firstLine="0" w:firstLineChars="0"/>
              <w:jc w:val="both"/>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 工单未及时处理率</w:t>
            </w:r>
            <w:r>
              <w:rPr>
                <w:rFonts w:hint="eastAsia" w:ascii="仿宋_GB2312" w:hAnsi="仿宋_GB2312" w:eastAsia="仿宋_GB2312" w:cs="仿宋_GB2312"/>
                <w:color w:val="auto"/>
                <w:kern w:val="0"/>
                <w:sz w:val="24"/>
                <w:szCs w:val="24"/>
                <w:highlight w:val="none"/>
                <w:lang w:val="en-GB" w:eastAsia="zh-CN" w:bidi="ar-SA"/>
              </w:rPr>
              <w:t>≤0%</w:t>
            </w:r>
            <w:r>
              <w:rPr>
                <w:rFonts w:hint="eastAsia" w:ascii="仿宋_GB2312" w:hAnsi="仿宋_GB2312" w:eastAsia="仿宋_GB2312" w:cs="仿宋_GB2312"/>
                <w:color w:val="auto"/>
                <w:kern w:val="0"/>
                <w:sz w:val="24"/>
                <w:szCs w:val="24"/>
                <w:highlight w:val="none"/>
                <w:lang w:val="en-US" w:eastAsia="zh-CN" w:bidi="ar-SA"/>
              </w:rPr>
              <w:t xml:space="preserve">     优</w:t>
            </w:r>
          </w:p>
          <w:p w14:paraId="15DD44AA">
            <w:pPr>
              <w:widowControl/>
              <w:ind w:firstLine="0" w:firstLineChars="0"/>
              <w:jc w:val="both"/>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2. 0%&lt;工单未及时处理率</w:t>
            </w:r>
            <w:r>
              <w:rPr>
                <w:rFonts w:hint="eastAsia" w:ascii="仿宋_GB2312" w:hAnsi="仿宋_GB2312" w:eastAsia="仿宋_GB2312" w:cs="仿宋_GB2312"/>
                <w:color w:val="auto"/>
                <w:kern w:val="0"/>
                <w:sz w:val="24"/>
                <w:szCs w:val="24"/>
                <w:highlight w:val="none"/>
                <w:lang w:val="en-GB" w:eastAsia="zh-CN" w:bidi="ar-SA"/>
              </w:rPr>
              <w:t>≤</w:t>
            </w:r>
            <w:r>
              <w:rPr>
                <w:rFonts w:hint="eastAsia" w:ascii="仿宋_GB2312" w:hAnsi="仿宋_GB2312" w:eastAsia="仿宋_GB2312" w:cs="仿宋_GB2312"/>
                <w:color w:val="auto"/>
                <w:kern w:val="0"/>
                <w:sz w:val="24"/>
                <w:szCs w:val="24"/>
                <w:highlight w:val="none"/>
                <w:lang w:val="en-US" w:eastAsia="zh-CN" w:bidi="ar-SA"/>
              </w:rPr>
              <w:t>5</w:t>
            </w:r>
            <w:r>
              <w:rPr>
                <w:rFonts w:hint="eastAsia" w:ascii="仿宋_GB2312" w:hAnsi="仿宋_GB2312" w:eastAsia="仿宋_GB2312" w:cs="仿宋_GB2312"/>
                <w:color w:val="auto"/>
                <w:kern w:val="0"/>
                <w:sz w:val="24"/>
                <w:szCs w:val="24"/>
                <w:highlight w:val="none"/>
                <w:lang w:val="en-GB" w:eastAsia="zh-CN" w:bidi="ar-SA"/>
              </w:rPr>
              <w:t>%</w:t>
            </w:r>
            <w:r>
              <w:rPr>
                <w:rFonts w:hint="eastAsia" w:ascii="仿宋_GB2312" w:hAnsi="仿宋_GB2312" w:eastAsia="仿宋_GB2312" w:cs="仿宋_GB2312"/>
                <w:color w:val="auto"/>
                <w:kern w:val="0"/>
                <w:sz w:val="24"/>
                <w:szCs w:val="24"/>
                <w:highlight w:val="none"/>
                <w:lang w:val="en-US" w:eastAsia="zh-CN" w:bidi="ar-SA"/>
              </w:rPr>
              <w:t xml:space="preserve">  良</w:t>
            </w:r>
          </w:p>
          <w:p w14:paraId="5F0E3C68">
            <w:pPr>
              <w:widowControl/>
              <w:ind w:firstLine="0" w:firstLineChars="0"/>
              <w:jc w:val="both"/>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3. 5%&lt;工单未及时处理率</w:t>
            </w:r>
            <w:r>
              <w:rPr>
                <w:rFonts w:hint="eastAsia" w:ascii="仿宋_GB2312" w:hAnsi="仿宋_GB2312" w:eastAsia="仿宋_GB2312" w:cs="仿宋_GB2312"/>
                <w:color w:val="auto"/>
                <w:kern w:val="0"/>
                <w:sz w:val="24"/>
                <w:szCs w:val="24"/>
                <w:highlight w:val="none"/>
                <w:lang w:val="en-GB" w:eastAsia="zh-CN" w:bidi="ar-SA"/>
              </w:rPr>
              <w:t>≤</w:t>
            </w:r>
            <w:r>
              <w:rPr>
                <w:rFonts w:hint="eastAsia" w:ascii="仿宋_GB2312" w:hAnsi="仿宋_GB2312" w:eastAsia="仿宋_GB2312" w:cs="仿宋_GB2312"/>
                <w:color w:val="auto"/>
                <w:kern w:val="0"/>
                <w:sz w:val="24"/>
                <w:szCs w:val="24"/>
                <w:highlight w:val="none"/>
                <w:lang w:val="en-US" w:eastAsia="zh-CN" w:bidi="ar-SA"/>
              </w:rPr>
              <w:t>15</w:t>
            </w:r>
            <w:r>
              <w:rPr>
                <w:rFonts w:hint="eastAsia" w:ascii="仿宋_GB2312" w:hAnsi="仿宋_GB2312" w:eastAsia="仿宋_GB2312" w:cs="仿宋_GB2312"/>
                <w:color w:val="auto"/>
                <w:kern w:val="0"/>
                <w:sz w:val="24"/>
                <w:szCs w:val="24"/>
                <w:highlight w:val="none"/>
                <w:lang w:val="en-GB" w:eastAsia="zh-CN" w:bidi="ar-SA"/>
              </w:rPr>
              <w:t>%</w:t>
            </w:r>
            <w:r>
              <w:rPr>
                <w:rFonts w:hint="eastAsia" w:ascii="仿宋_GB2312" w:hAnsi="仿宋_GB2312" w:eastAsia="仿宋_GB2312" w:cs="仿宋_GB2312"/>
                <w:color w:val="auto"/>
                <w:kern w:val="0"/>
                <w:sz w:val="24"/>
                <w:szCs w:val="24"/>
                <w:highlight w:val="none"/>
                <w:lang w:val="en-US" w:eastAsia="zh-CN" w:bidi="ar-SA"/>
              </w:rPr>
              <w:t xml:space="preserve"> 中</w:t>
            </w:r>
          </w:p>
          <w:p w14:paraId="4138BE4D">
            <w:pPr>
              <w:widowControl/>
              <w:ind w:firstLine="0" w:firstLineChars="0"/>
              <w:jc w:val="both"/>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4. 15%&lt;工单未及时处理率     差</w:t>
            </w:r>
          </w:p>
        </w:tc>
        <w:tc>
          <w:tcPr>
            <w:tcW w:w="515" w:type="pct"/>
            <w:vAlign w:val="center"/>
          </w:tcPr>
          <w:p w14:paraId="2DEEF587">
            <w:pPr>
              <w:widowControl/>
              <w:ind w:firstLine="0" w:firstLineChars="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20%</w:t>
            </w:r>
          </w:p>
        </w:tc>
      </w:tr>
      <w:tr w14:paraId="1EB8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jc w:val="center"/>
        </w:trPr>
        <w:tc>
          <w:tcPr>
            <w:tcW w:w="267" w:type="pct"/>
            <w:vAlign w:val="center"/>
          </w:tcPr>
          <w:p w14:paraId="44436ACA">
            <w:pPr>
              <w:widowControl/>
              <w:spacing w:line="240" w:lineRule="auto"/>
              <w:ind w:firstLine="0" w:firstLineChars="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4</w:t>
            </w:r>
          </w:p>
        </w:tc>
        <w:tc>
          <w:tcPr>
            <w:tcW w:w="743" w:type="pct"/>
            <w:vAlign w:val="center"/>
          </w:tcPr>
          <w:p w14:paraId="501E48DD">
            <w:pPr>
              <w:keepNext w:val="0"/>
              <w:keepLines w:val="0"/>
              <w:widowControl/>
              <w:suppressLineNumbers w:val="0"/>
              <w:jc w:val="center"/>
              <w:textAlignment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i w:val="0"/>
                <w:iCs w:val="0"/>
                <w:color w:val="auto"/>
                <w:kern w:val="0"/>
                <w:sz w:val="24"/>
                <w:szCs w:val="24"/>
                <w:highlight w:val="none"/>
                <w:u w:val="none"/>
                <w:lang w:val="en-US" w:eastAsia="zh-CN" w:bidi="ar-SA"/>
              </w:rPr>
              <w:t>人员稳定性</w:t>
            </w:r>
          </w:p>
        </w:tc>
        <w:tc>
          <w:tcPr>
            <w:tcW w:w="918" w:type="pct"/>
            <w:vAlign w:val="center"/>
          </w:tcPr>
          <w:p w14:paraId="145BE03C">
            <w:pPr>
              <w:keepNext w:val="0"/>
              <w:keepLines w:val="0"/>
              <w:widowControl/>
              <w:suppressLineNumbers w:val="0"/>
              <w:jc w:val="left"/>
              <w:textAlignment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i w:val="0"/>
                <w:iCs w:val="0"/>
                <w:color w:val="auto"/>
                <w:kern w:val="0"/>
                <w:sz w:val="24"/>
                <w:szCs w:val="24"/>
                <w:highlight w:val="none"/>
                <w:u w:val="none"/>
                <w:lang w:val="en-US" w:eastAsia="zh-CN" w:bidi="ar-SA"/>
              </w:rPr>
              <w:t>人员异动比率=异动（更换、退出、辞退）人数/驻场总人数</w:t>
            </w:r>
            <w:r>
              <w:rPr>
                <w:rFonts w:hint="eastAsia" w:ascii="仿宋_GB2312" w:hAnsi="仿宋_GB2312" w:eastAsia="仿宋_GB2312" w:cs="仿宋_GB2312"/>
                <w:i w:val="0"/>
                <w:iCs w:val="0"/>
                <w:color w:val="auto"/>
                <w:kern w:val="0"/>
                <w:sz w:val="24"/>
                <w:szCs w:val="24"/>
                <w:highlight w:val="none"/>
                <w:u w:val="none"/>
                <w:lang w:val="en-US" w:eastAsia="zh-CN" w:bidi="ar-SA"/>
              </w:rPr>
              <w:br w:type="textWrapping"/>
            </w:r>
          </w:p>
        </w:tc>
        <w:tc>
          <w:tcPr>
            <w:tcW w:w="2554" w:type="pct"/>
            <w:vAlign w:val="center"/>
          </w:tcPr>
          <w:p w14:paraId="4238C9B1">
            <w:pPr>
              <w:keepNext w:val="0"/>
              <w:keepLines w:val="0"/>
              <w:widowControl/>
              <w:suppressLineNumbers w:val="0"/>
              <w:jc w:val="both"/>
              <w:textAlignment w:val="center"/>
              <w:rPr>
                <w:rFonts w:hint="eastAsia" w:ascii="仿宋_GB2312" w:hAnsi="仿宋_GB2312" w:eastAsia="仿宋_GB2312" w:cs="仿宋_GB2312"/>
                <w:color w:val="auto"/>
                <w:kern w:val="0"/>
                <w:sz w:val="24"/>
                <w:szCs w:val="24"/>
                <w:highlight w:val="none"/>
                <w:lang w:val="en-GB"/>
              </w:rPr>
            </w:pPr>
            <w:r>
              <w:rPr>
                <w:rFonts w:hint="eastAsia" w:ascii="仿宋_GB2312" w:hAnsi="仿宋_GB2312" w:eastAsia="仿宋_GB2312" w:cs="仿宋_GB2312"/>
                <w:i w:val="0"/>
                <w:iCs w:val="0"/>
                <w:color w:val="auto"/>
                <w:kern w:val="0"/>
                <w:sz w:val="24"/>
                <w:szCs w:val="24"/>
                <w:highlight w:val="none"/>
                <w:u w:val="none"/>
                <w:lang w:val="en-US" w:eastAsia="zh-CN" w:bidi="ar-SA"/>
              </w:rPr>
              <w:t>1、人员异动比率≤5%，且替代人员资质不低于异动人员        优</w:t>
            </w:r>
            <w:r>
              <w:rPr>
                <w:rFonts w:hint="eastAsia" w:ascii="仿宋_GB2312" w:hAnsi="仿宋_GB2312" w:eastAsia="仿宋_GB2312" w:cs="仿宋_GB2312"/>
                <w:i w:val="0"/>
                <w:iCs w:val="0"/>
                <w:color w:val="auto"/>
                <w:kern w:val="0"/>
                <w:sz w:val="24"/>
                <w:szCs w:val="24"/>
                <w:highlight w:val="none"/>
                <w:u w:val="none"/>
                <w:lang w:val="en-US" w:eastAsia="zh-CN" w:bidi="ar-SA"/>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SA"/>
              </w:rPr>
              <w:t>2、5%＜人员异动比率≤10%，且替代人员资质不低于异动人员   良</w:t>
            </w:r>
            <w:r>
              <w:rPr>
                <w:rFonts w:hint="eastAsia" w:ascii="仿宋_GB2312" w:hAnsi="仿宋_GB2312" w:eastAsia="仿宋_GB2312" w:cs="仿宋_GB2312"/>
                <w:i w:val="0"/>
                <w:iCs w:val="0"/>
                <w:color w:val="auto"/>
                <w:kern w:val="0"/>
                <w:sz w:val="24"/>
                <w:szCs w:val="24"/>
                <w:highlight w:val="none"/>
                <w:u w:val="none"/>
                <w:lang w:val="en-US" w:eastAsia="zh-CN" w:bidi="ar-SA"/>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SA"/>
              </w:rPr>
              <w:t>3、10%＜人员异动比率≤20%，且替代人员资质不低于异动人员  中</w:t>
            </w:r>
            <w:r>
              <w:rPr>
                <w:rFonts w:hint="eastAsia" w:ascii="仿宋_GB2312" w:hAnsi="仿宋_GB2312" w:eastAsia="仿宋_GB2312" w:cs="仿宋_GB2312"/>
                <w:i w:val="0"/>
                <w:iCs w:val="0"/>
                <w:color w:val="auto"/>
                <w:kern w:val="0"/>
                <w:sz w:val="24"/>
                <w:szCs w:val="24"/>
                <w:highlight w:val="none"/>
                <w:u w:val="none"/>
                <w:lang w:val="en-US" w:eastAsia="zh-CN" w:bidi="ar-SA"/>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SA"/>
              </w:rPr>
              <w:t>4、20%＜人员异动比率，或替代人员资质低于异动人员         差</w:t>
            </w:r>
          </w:p>
        </w:tc>
        <w:tc>
          <w:tcPr>
            <w:tcW w:w="515" w:type="pct"/>
            <w:vAlign w:val="center"/>
          </w:tcPr>
          <w:p w14:paraId="1354E75D">
            <w:pPr>
              <w:keepNext w:val="0"/>
              <w:keepLines w:val="0"/>
              <w:widowControl/>
              <w:suppressLineNumbers w:val="0"/>
              <w:jc w:val="center"/>
              <w:textAlignment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不低于5%</w:t>
            </w:r>
          </w:p>
        </w:tc>
      </w:tr>
      <w:tr w14:paraId="0D59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jc w:val="center"/>
        </w:trPr>
        <w:tc>
          <w:tcPr>
            <w:tcW w:w="267" w:type="pct"/>
            <w:vAlign w:val="center"/>
          </w:tcPr>
          <w:p w14:paraId="75ABEA56">
            <w:pPr>
              <w:widowControl/>
              <w:ind w:firstLine="0" w:firstLineChars="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5</w:t>
            </w:r>
          </w:p>
        </w:tc>
        <w:tc>
          <w:tcPr>
            <w:tcW w:w="743" w:type="pct"/>
            <w:vAlign w:val="center"/>
          </w:tcPr>
          <w:p w14:paraId="76BC8C18">
            <w:pPr>
              <w:widowControl/>
              <w:ind w:firstLine="0" w:firstLineChars="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异常考勤率</w:t>
            </w:r>
          </w:p>
        </w:tc>
        <w:tc>
          <w:tcPr>
            <w:tcW w:w="918" w:type="pct"/>
            <w:vAlign w:val="center"/>
          </w:tcPr>
          <w:p w14:paraId="5191E319">
            <w:pPr>
              <w:widowControl/>
              <w:ind w:firstLine="0" w:firstLineChars="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驻场期间异常考勤天数/应出勤天数</w:t>
            </w:r>
          </w:p>
        </w:tc>
        <w:tc>
          <w:tcPr>
            <w:tcW w:w="2554" w:type="pct"/>
            <w:vAlign w:val="center"/>
          </w:tcPr>
          <w:p w14:paraId="450F5282">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 xml:space="preserve">1. </w:t>
            </w:r>
            <w:r>
              <w:rPr>
                <w:rFonts w:hint="eastAsia" w:ascii="仿宋_GB2312" w:hAnsi="仿宋_GB2312" w:eastAsia="仿宋_GB2312" w:cs="仿宋_GB2312"/>
                <w:color w:val="auto"/>
                <w:kern w:val="0"/>
                <w:sz w:val="24"/>
                <w:szCs w:val="24"/>
                <w:highlight w:val="none"/>
                <w:lang w:val="en-US" w:eastAsia="zh-CN" w:bidi="ar-SA"/>
              </w:rPr>
              <w:t>异常考勤</w:t>
            </w:r>
            <w:r>
              <w:rPr>
                <w:rFonts w:hint="eastAsia" w:ascii="仿宋_GB2312" w:hAnsi="仿宋_GB2312" w:eastAsia="仿宋_GB2312" w:cs="仿宋_GB2312"/>
                <w:color w:val="auto"/>
                <w:kern w:val="0"/>
                <w:sz w:val="24"/>
                <w:szCs w:val="24"/>
                <w:highlight w:val="none"/>
                <w:lang w:val="en-GB" w:eastAsia="zh-CN" w:bidi="ar-SA"/>
              </w:rPr>
              <w:t>率≤</w:t>
            </w:r>
            <w:r>
              <w:rPr>
                <w:rFonts w:hint="eastAsia" w:ascii="仿宋_GB2312" w:hAnsi="仿宋_GB2312" w:eastAsia="仿宋_GB2312" w:cs="仿宋_GB2312"/>
                <w:color w:val="auto"/>
                <w:kern w:val="0"/>
                <w:sz w:val="24"/>
                <w:szCs w:val="24"/>
                <w:highlight w:val="none"/>
                <w:lang w:val="en-US" w:eastAsia="zh-CN" w:bidi="ar-SA"/>
              </w:rPr>
              <w:t>5</w:t>
            </w:r>
            <w:r>
              <w:rPr>
                <w:rFonts w:hint="eastAsia" w:ascii="仿宋_GB2312" w:hAnsi="仿宋_GB2312" w:eastAsia="仿宋_GB2312" w:cs="仿宋_GB2312"/>
                <w:color w:val="auto"/>
                <w:kern w:val="0"/>
                <w:sz w:val="24"/>
                <w:szCs w:val="24"/>
                <w:highlight w:val="none"/>
                <w:lang w:val="en-GB" w:eastAsia="zh-CN" w:bidi="ar-SA"/>
              </w:rPr>
              <w:t>%        优</w:t>
            </w:r>
          </w:p>
          <w:p w14:paraId="4A595804">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 xml:space="preserve">2. </w:t>
            </w:r>
            <w:r>
              <w:rPr>
                <w:rFonts w:hint="eastAsia" w:ascii="仿宋_GB2312" w:hAnsi="仿宋_GB2312" w:eastAsia="仿宋_GB2312" w:cs="仿宋_GB2312"/>
                <w:color w:val="auto"/>
                <w:kern w:val="0"/>
                <w:sz w:val="24"/>
                <w:szCs w:val="24"/>
                <w:highlight w:val="none"/>
                <w:lang w:val="en-US" w:eastAsia="zh-CN" w:bidi="ar-SA"/>
              </w:rPr>
              <w:t>5</w:t>
            </w:r>
            <w:r>
              <w:rPr>
                <w:rFonts w:hint="eastAsia" w:ascii="仿宋_GB2312" w:hAnsi="仿宋_GB2312" w:eastAsia="仿宋_GB2312" w:cs="仿宋_GB2312"/>
                <w:color w:val="auto"/>
                <w:kern w:val="0"/>
                <w:sz w:val="24"/>
                <w:szCs w:val="24"/>
                <w:highlight w:val="none"/>
                <w:lang w:val="en-GB" w:eastAsia="zh-CN" w:bidi="ar-SA"/>
              </w:rPr>
              <w:t>%＜</w:t>
            </w:r>
            <w:r>
              <w:rPr>
                <w:rFonts w:hint="eastAsia" w:ascii="仿宋_GB2312" w:hAnsi="仿宋_GB2312" w:eastAsia="仿宋_GB2312" w:cs="仿宋_GB2312"/>
                <w:color w:val="auto"/>
                <w:kern w:val="0"/>
                <w:sz w:val="24"/>
                <w:szCs w:val="24"/>
                <w:highlight w:val="none"/>
                <w:lang w:val="en-US" w:eastAsia="zh-CN" w:bidi="ar-SA"/>
              </w:rPr>
              <w:t>异常考勤</w:t>
            </w:r>
            <w:r>
              <w:rPr>
                <w:rFonts w:hint="eastAsia" w:ascii="仿宋_GB2312" w:hAnsi="仿宋_GB2312" w:eastAsia="仿宋_GB2312" w:cs="仿宋_GB2312"/>
                <w:color w:val="auto"/>
                <w:kern w:val="0"/>
                <w:sz w:val="24"/>
                <w:szCs w:val="24"/>
                <w:highlight w:val="none"/>
                <w:lang w:val="en-GB" w:eastAsia="zh-CN" w:bidi="ar-SA"/>
              </w:rPr>
              <w:t>率≤</w:t>
            </w:r>
            <w:r>
              <w:rPr>
                <w:rFonts w:hint="eastAsia" w:ascii="仿宋_GB2312" w:hAnsi="仿宋_GB2312" w:eastAsia="仿宋_GB2312" w:cs="仿宋_GB2312"/>
                <w:color w:val="auto"/>
                <w:kern w:val="0"/>
                <w:sz w:val="24"/>
                <w:szCs w:val="24"/>
                <w:highlight w:val="none"/>
                <w:lang w:val="en-US" w:eastAsia="zh-CN" w:bidi="ar-SA"/>
              </w:rPr>
              <w:t>10</w:t>
            </w:r>
            <w:r>
              <w:rPr>
                <w:rFonts w:hint="eastAsia" w:ascii="仿宋_GB2312" w:hAnsi="仿宋_GB2312" w:eastAsia="仿宋_GB2312" w:cs="仿宋_GB2312"/>
                <w:color w:val="auto"/>
                <w:kern w:val="0"/>
                <w:sz w:val="24"/>
                <w:szCs w:val="24"/>
                <w:highlight w:val="none"/>
                <w:lang w:val="en-GB" w:eastAsia="zh-CN" w:bidi="ar-SA"/>
              </w:rPr>
              <w:t>%   良</w:t>
            </w:r>
          </w:p>
          <w:p w14:paraId="4DF6B96F">
            <w:pPr>
              <w:widowControl/>
              <w:ind w:firstLine="0" w:firstLineChars="0"/>
              <w:jc w:val="both"/>
              <w:rPr>
                <w:rFonts w:hint="eastAsia" w:ascii="仿宋_GB2312" w:hAnsi="仿宋_GB2312" w:eastAsia="仿宋_GB2312" w:cs="仿宋_GB2312"/>
                <w:color w:val="auto"/>
                <w:kern w:val="0"/>
                <w:sz w:val="24"/>
                <w:szCs w:val="24"/>
                <w:highlight w:val="none"/>
                <w:lang w:val="en-GB" w:eastAsia="zh-CN" w:bidi="ar-SA"/>
              </w:rPr>
            </w:pPr>
            <w:r>
              <w:rPr>
                <w:rFonts w:hint="eastAsia" w:ascii="仿宋_GB2312" w:hAnsi="仿宋_GB2312" w:eastAsia="仿宋_GB2312" w:cs="仿宋_GB2312"/>
                <w:color w:val="auto"/>
                <w:kern w:val="0"/>
                <w:sz w:val="24"/>
                <w:szCs w:val="24"/>
                <w:highlight w:val="none"/>
                <w:lang w:val="en-GB" w:eastAsia="zh-CN" w:bidi="ar-SA"/>
              </w:rPr>
              <w:t>3.</w:t>
            </w:r>
            <w:r>
              <w:rPr>
                <w:rFonts w:hint="eastAsia" w:ascii="仿宋_GB2312" w:hAnsi="仿宋_GB2312" w:eastAsia="仿宋_GB2312" w:cs="仿宋_GB2312"/>
                <w:color w:val="auto"/>
                <w:kern w:val="0"/>
                <w:sz w:val="24"/>
                <w:szCs w:val="24"/>
                <w:highlight w:val="none"/>
                <w:lang w:val="en-US" w:eastAsia="zh-CN" w:bidi="ar-SA"/>
              </w:rPr>
              <w:t xml:space="preserve"> 10</w:t>
            </w:r>
            <w:r>
              <w:rPr>
                <w:rFonts w:hint="eastAsia" w:ascii="仿宋_GB2312" w:hAnsi="仿宋_GB2312" w:eastAsia="仿宋_GB2312" w:cs="仿宋_GB2312"/>
                <w:color w:val="auto"/>
                <w:kern w:val="0"/>
                <w:sz w:val="24"/>
                <w:szCs w:val="24"/>
                <w:highlight w:val="none"/>
                <w:lang w:val="en-GB" w:eastAsia="zh-CN" w:bidi="ar-SA"/>
              </w:rPr>
              <w:t>%＜</w:t>
            </w:r>
            <w:r>
              <w:rPr>
                <w:rFonts w:hint="eastAsia" w:ascii="仿宋_GB2312" w:hAnsi="仿宋_GB2312" w:eastAsia="仿宋_GB2312" w:cs="仿宋_GB2312"/>
                <w:color w:val="auto"/>
                <w:kern w:val="0"/>
                <w:sz w:val="24"/>
                <w:szCs w:val="24"/>
                <w:highlight w:val="none"/>
                <w:lang w:val="en-US" w:eastAsia="zh-CN" w:bidi="ar-SA"/>
              </w:rPr>
              <w:t>异常考勤</w:t>
            </w:r>
            <w:r>
              <w:rPr>
                <w:rFonts w:hint="eastAsia" w:ascii="仿宋_GB2312" w:hAnsi="仿宋_GB2312" w:eastAsia="仿宋_GB2312" w:cs="仿宋_GB2312"/>
                <w:color w:val="auto"/>
                <w:kern w:val="0"/>
                <w:sz w:val="24"/>
                <w:szCs w:val="24"/>
                <w:highlight w:val="none"/>
                <w:lang w:val="en-GB" w:eastAsia="zh-CN" w:bidi="ar-SA"/>
              </w:rPr>
              <w:t>率≤15%  中</w:t>
            </w:r>
          </w:p>
          <w:p w14:paraId="6A159973">
            <w:pPr>
              <w:widowControl/>
              <w:ind w:firstLine="0" w:firstLineChars="0"/>
              <w:jc w:val="both"/>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GB" w:eastAsia="zh-CN" w:bidi="ar-SA"/>
              </w:rPr>
              <w:t>4.</w:t>
            </w:r>
            <w:r>
              <w:rPr>
                <w:rFonts w:hint="eastAsia" w:ascii="仿宋_GB2312" w:hAnsi="仿宋_GB2312" w:eastAsia="仿宋_GB2312" w:cs="仿宋_GB2312"/>
                <w:color w:val="auto"/>
                <w:kern w:val="0"/>
                <w:sz w:val="24"/>
                <w:szCs w:val="24"/>
                <w:highlight w:val="none"/>
                <w:lang w:val="en-US" w:eastAsia="zh-CN" w:bidi="ar-SA"/>
              </w:rPr>
              <w:t xml:space="preserve"> </w:t>
            </w:r>
            <w:r>
              <w:rPr>
                <w:rFonts w:hint="eastAsia" w:ascii="仿宋_GB2312" w:hAnsi="仿宋_GB2312" w:eastAsia="仿宋_GB2312" w:cs="仿宋_GB2312"/>
                <w:color w:val="auto"/>
                <w:kern w:val="0"/>
                <w:sz w:val="24"/>
                <w:szCs w:val="24"/>
                <w:highlight w:val="none"/>
                <w:lang w:val="en-GB" w:eastAsia="zh-CN" w:bidi="ar-SA"/>
              </w:rPr>
              <w:t>15%＜</w:t>
            </w:r>
            <w:r>
              <w:rPr>
                <w:rFonts w:hint="eastAsia" w:ascii="仿宋_GB2312" w:hAnsi="仿宋_GB2312" w:eastAsia="仿宋_GB2312" w:cs="仿宋_GB2312"/>
                <w:color w:val="auto"/>
                <w:kern w:val="0"/>
                <w:sz w:val="24"/>
                <w:szCs w:val="24"/>
                <w:highlight w:val="none"/>
                <w:lang w:val="en-US" w:eastAsia="zh-CN" w:bidi="ar-SA"/>
              </w:rPr>
              <w:t>异常考勤</w:t>
            </w:r>
            <w:r>
              <w:rPr>
                <w:rFonts w:hint="eastAsia" w:ascii="仿宋_GB2312" w:hAnsi="仿宋_GB2312" w:eastAsia="仿宋_GB2312" w:cs="仿宋_GB2312"/>
                <w:color w:val="auto"/>
                <w:kern w:val="0"/>
                <w:sz w:val="24"/>
                <w:szCs w:val="24"/>
                <w:highlight w:val="none"/>
                <w:lang w:val="en-GB" w:eastAsia="zh-CN" w:bidi="ar-SA"/>
              </w:rPr>
              <w:t>率       差</w:t>
            </w:r>
          </w:p>
        </w:tc>
        <w:tc>
          <w:tcPr>
            <w:tcW w:w="515" w:type="pct"/>
            <w:vAlign w:val="center"/>
          </w:tcPr>
          <w:p w14:paraId="574080CD">
            <w:pPr>
              <w:widowControl/>
              <w:ind w:firstLine="0" w:firstLineChars="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5%</w:t>
            </w:r>
          </w:p>
        </w:tc>
      </w:tr>
      <w:tr w14:paraId="2D03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5000" w:type="pct"/>
            <w:gridSpan w:val="5"/>
            <w:vAlign w:val="center"/>
          </w:tcPr>
          <w:p w14:paraId="7CC0DD5C">
            <w:pPr>
              <w:widowControl/>
              <w:tabs>
                <w:tab w:val="left" w:pos="2252"/>
              </w:tabs>
              <w:ind w:firstLine="0" w:firstLineChars="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说明：本项目涉及功能点情况和数量随报价文件一并提供，应与工作量评估底稿一致；考勤率结合采购人外包考勤情况进行计算。</w:t>
            </w:r>
          </w:p>
        </w:tc>
      </w:tr>
    </w:tbl>
    <w:p w14:paraId="5243A401">
      <w:pPr>
        <w:widowControl w:val="0"/>
        <w:spacing w:afterLines="0" w:line="560" w:lineRule="exact"/>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 xml:space="preserve">根据SLA最后得分情况，划分为四个等级： </w:t>
      </w:r>
    </w:p>
    <w:p w14:paraId="349A15FB">
      <w:pPr>
        <w:widowControl w:val="0"/>
        <w:spacing w:afterLines="0" w:line="560" w:lineRule="exact"/>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SLA&gt;=95的为优；</w:t>
      </w:r>
    </w:p>
    <w:p w14:paraId="43A49EDE">
      <w:pPr>
        <w:widowControl w:val="0"/>
        <w:spacing w:afterLines="0" w:line="560" w:lineRule="exact"/>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SLA在80-95的为良；</w:t>
      </w:r>
    </w:p>
    <w:p w14:paraId="36176250">
      <w:pPr>
        <w:widowControl w:val="0"/>
        <w:spacing w:afterLines="0" w:line="560" w:lineRule="exact"/>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SLA在60-80的为中；</w:t>
      </w:r>
    </w:p>
    <w:p w14:paraId="61E49267">
      <w:pPr>
        <w:spacing w:line="560" w:lineRule="exact"/>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SLA&lt;60的为差。</w:t>
      </w:r>
    </w:p>
    <w:p w14:paraId="102BCEFF">
      <w:pPr>
        <w:adjustRightInd w:val="0"/>
        <w:spacing w:line="360" w:lineRule="auto"/>
        <w:ind w:firstLine="480" w:firstLineChars="200"/>
        <w:textAlignment w:val="baseline"/>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（三）违约责任</w:t>
      </w:r>
    </w:p>
    <w:p w14:paraId="619025D4">
      <w:pPr>
        <w:spacing w:line="360" w:lineRule="auto"/>
        <w:ind w:firstLine="480"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在合同签署后，需要按上线计划完成投产上线。如因</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原因导致未能按期投产上线，将按照每逾期一日，扣除“合同价款”的千分之五（5‰）。</w:t>
      </w:r>
    </w:p>
    <w:p w14:paraId="4F1C168A">
      <w:pPr>
        <w:widowControl w:val="0"/>
        <w:spacing w:afterLines="0" w:line="360" w:lineRule="auto"/>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2.SLA考核的罚则。</w:t>
      </w:r>
    </w:p>
    <w:p w14:paraId="2AAE4B32">
      <w:pPr>
        <w:widowControl w:val="0"/>
        <w:spacing w:afterLines="0" w:line="360" w:lineRule="auto"/>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（1）SLA考核为良：约谈供应商高管，提出服务质量保障具体措施并限期落实；</w:t>
      </w:r>
    </w:p>
    <w:p w14:paraId="1550BEB2">
      <w:pPr>
        <w:widowControl w:val="0"/>
        <w:spacing w:afterLines="0" w:line="360" w:lineRule="auto"/>
        <w:ind w:firstLine="480" w:firstLineChars="20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（2）SLA考核为中：约谈供应商高管，提出服务质量保障具体措施并限期落实，从本次付款起每期付款顺次延迟半年支付，如有多次延迟的，延迟期限叠加。</w:t>
      </w:r>
    </w:p>
    <w:p w14:paraId="48592E3A">
      <w:pPr>
        <w:spacing w:line="360" w:lineRule="auto"/>
        <w:ind w:firstLine="64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（3）SLA 考核为差：约谈</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高管，提出服务质量保障具体措施并限期落实，暂停本次及以后各期款项支付，直至下次考核时服务质量达到中级以上，接续按以上标准执行。如已是最后一次验收，则扣除“合同价款”的百分之五（5%）。</w:t>
      </w:r>
    </w:p>
    <w:p w14:paraId="4B0AAFFE">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Lines="0" w:line="360" w:lineRule="auto"/>
        <w:ind w:firstLine="480" w:firstLineChars="200"/>
        <w:jc w:val="left"/>
        <w:textAlignment w:val="auto"/>
        <w:outlineLvl w:val="0"/>
        <w:rPr>
          <w:rFonts w:hint="eastAsia" w:ascii="仿宋_GB2312" w:hAnsi="仿宋_GB2312" w:eastAsia="仿宋_GB2312" w:cs="仿宋_GB2312"/>
          <w:b w:val="0"/>
          <w:bCs w:val="0"/>
          <w:color w:val="auto"/>
          <w:sz w:val="24"/>
          <w:szCs w:val="24"/>
          <w:highlight w:val="none"/>
        </w:rPr>
      </w:pPr>
      <w:bookmarkStart w:id="46" w:name="_Toc8016"/>
      <w:bookmarkStart w:id="47" w:name="_Toc21920"/>
      <w:bookmarkStart w:id="48" w:name="_Toc10023"/>
      <w:r>
        <w:rPr>
          <w:rFonts w:hint="eastAsia" w:ascii="黑体" w:hAnsi="黑体" w:eastAsia="黑体" w:cs="黑体"/>
          <w:b w:val="0"/>
          <w:bCs w:val="0"/>
          <w:color w:val="auto"/>
          <w:sz w:val="24"/>
          <w:szCs w:val="24"/>
          <w:highlight w:val="none"/>
          <w:lang w:val="en-US" w:eastAsia="zh-CN"/>
        </w:rPr>
        <w:t>十一、</w:t>
      </w:r>
      <w:r>
        <w:rPr>
          <w:rFonts w:hint="eastAsia" w:ascii="黑体" w:hAnsi="黑体" w:eastAsia="黑体" w:cs="黑体"/>
          <w:b w:val="0"/>
          <w:bCs w:val="0"/>
          <w:color w:val="auto"/>
          <w:sz w:val="24"/>
          <w:szCs w:val="24"/>
          <w:highlight w:val="none"/>
        </w:rPr>
        <w:t>合同条款</w:t>
      </w:r>
      <w:bookmarkEnd w:id="46"/>
      <w:bookmarkEnd w:id="47"/>
      <w:bookmarkEnd w:id="48"/>
    </w:p>
    <w:p w14:paraId="27E5300E">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firstLine="480" w:firstLineChars="200"/>
        <w:jc w:val="left"/>
        <w:textAlignment w:val="auto"/>
      </w:pPr>
      <w:r>
        <w:rPr>
          <w:rFonts w:hint="eastAsia" w:ascii="仿宋_GB2312" w:hAnsi="仿宋_GB2312" w:eastAsia="仿宋_GB2312" w:cs="仿宋_GB2312"/>
          <w:color w:val="auto"/>
          <w:kern w:val="2"/>
          <w:sz w:val="24"/>
          <w:szCs w:val="24"/>
          <w:highlight w:val="none"/>
          <w:lang w:val="en-US" w:eastAsia="zh-CN" w:bidi="ar-SA"/>
        </w:rPr>
        <w:t>合同模板及保密协议使用采购人联合开发系统需求实施项目类合同。</w:t>
      </w:r>
      <w:bookmarkEnd w:id="8"/>
      <w:bookmarkEnd w:id="9"/>
      <w:bookmarkEnd w:id="10"/>
      <w:bookmarkEnd w:id="11"/>
      <w:bookmarkEnd w:id="12"/>
      <w:bookmarkEnd w:id="13"/>
      <w:bookmarkEnd w:id="14"/>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42297"/>
    </w:sdtPr>
    <w:sdtContent>
      <w:p w14:paraId="7C0DDABD">
        <w:pPr>
          <w:pStyle w:val="8"/>
          <w:jc w:val="center"/>
        </w:pPr>
        <w:r>
          <w:fldChar w:fldCharType="begin"/>
        </w:r>
        <w:r>
          <w:instrText xml:space="preserve"> PAGE   \* MERGEFORMAT </w:instrText>
        </w:r>
        <w:r>
          <w:fldChar w:fldCharType="separate"/>
        </w:r>
        <w:r>
          <w:rPr>
            <w:lang w:val="zh-CN"/>
          </w:rPr>
          <w:t>4</w:t>
        </w:r>
        <w:r>
          <w:rPr>
            <w:lang w:val="zh-CN"/>
          </w:rPr>
          <w:fldChar w:fldCharType="end"/>
        </w:r>
      </w:p>
    </w:sdtContent>
  </w:sdt>
  <w:p w14:paraId="58C437A7">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F1628">
    <w:pPr>
      <w:adjustRightInd w:val="0"/>
      <w:snapToGrid w:val="0"/>
      <w:jc w:val="left"/>
      <w:rPr>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DF962B"/>
    <w:multiLevelType w:val="singleLevel"/>
    <w:tmpl w:val="84DF962B"/>
    <w:lvl w:ilvl="0" w:tentative="0">
      <w:start w:val="2"/>
      <w:numFmt w:val="chineseCounting"/>
      <w:suff w:val="nothing"/>
      <w:lvlText w:val="（%1）"/>
      <w:lvlJc w:val="left"/>
      <w:rPr>
        <w:rFonts w:hint="eastAsia"/>
      </w:rPr>
    </w:lvl>
  </w:abstractNum>
  <w:abstractNum w:abstractNumId="1">
    <w:nsid w:val="AE84738A"/>
    <w:multiLevelType w:val="singleLevel"/>
    <w:tmpl w:val="AE84738A"/>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2">
    <w:nsid w:val="C484F922"/>
    <w:multiLevelType w:val="singleLevel"/>
    <w:tmpl w:val="C484F922"/>
    <w:lvl w:ilvl="0" w:tentative="0">
      <w:start w:val="2"/>
      <w:numFmt w:val="chineseCounting"/>
      <w:suff w:val="nothing"/>
      <w:lvlText w:val="（%1）"/>
      <w:lvlJc w:val="left"/>
      <w:rPr>
        <w:rFonts w:hint="eastAsia"/>
      </w:rPr>
    </w:lvl>
  </w:abstractNum>
  <w:abstractNum w:abstractNumId="3">
    <w:nsid w:val="D0903166"/>
    <w:multiLevelType w:val="singleLevel"/>
    <w:tmpl w:val="D0903166"/>
    <w:lvl w:ilvl="0" w:tentative="0">
      <w:start w:val="1"/>
      <w:numFmt w:val="decimal"/>
      <w:suff w:val="nothing"/>
      <w:lvlText w:val="%1"/>
      <w:lvlJc w:val="left"/>
      <w:pPr>
        <w:ind w:left="425" w:leftChars="0" w:hanging="425" w:firstLineChars="0"/>
      </w:pPr>
      <w:rPr>
        <w:rFonts w:hint="default"/>
      </w:rPr>
    </w:lvl>
  </w:abstractNum>
  <w:abstractNum w:abstractNumId="4">
    <w:nsid w:val="41923192"/>
    <w:multiLevelType w:val="multilevel"/>
    <w:tmpl w:val="4192319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E0E6040"/>
    <w:multiLevelType w:val="singleLevel"/>
    <w:tmpl w:val="4E0E6040"/>
    <w:lvl w:ilvl="0" w:tentative="0">
      <w:start w:val="1"/>
      <w:numFmt w:val="decimal"/>
      <w:suff w:val="nothing"/>
      <w:lvlText w:val="%1"/>
      <w:lvlJc w:val="left"/>
      <w:pPr>
        <w:tabs>
          <w:tab w:val="left" w:pos="0"/>
        </w:tabs>
        <w:ind w:left="454" w:leftChars="0" w:hanging="454" w:firstLineChars="0"/>
      </w:pPr>
      <w:rPr>
        <w:rFonts w:hint="default" w:ascii="Times New Roman" w:hAnsi="Times New Roman" w:eastAsia="宋体" w:cs="Times New Roman"/>
      </w:rPr>
    </w:lvl>
  </w:abstractNum>
  <w:abstractNum w:abstractNumId="6">
    <w:nsid w:val="58599E33"/>
    <w:multiLevelType w:val="singleLevel"/>
    <w:tmpl w:val="58599E33"/>
    <w:lvl w:ilvl="0" w:tentative="0">
      <w:start w:val="3"/>
      <w:numFmt w:val="decimal"/>
      <w:suff w:val="nothing"/>
      <w:lvlText w:val="（%1）"/>
      <w:lvlJc w:val="left"/>
    </w:lvl>
  </w:abstractNum>
  <w:abstractNum w:abstractNumId="7">
    <w:nsid w:val="73942994"/>
    <w:multiLevelType w:val="singleLevel"/>
    <w:tmpl w:val="73942994"/>
    <w:lvl w:ilvl="0" w:tentative="0">
      <w:start w:val="1"/>
      <w:numFmt w:val="bullet"/>
      <w:lvlText w:val=""/>
      <w:lvlJc w:val="left"/>
      <w:pPr>
        <w:ind w:left="1050" w:hanging="420"/>
      </w:pPr>
      <w:rPr>
        <w:rFonts w:hint="default" w:ascii="Wingdings" w:hAnsi="Wingdings"/>
      </w:rPr>
    </w:lvl>
  </w:abstractNum>
  <w:num w:numId="1">
    <w:abstractNumId w:val="2"/>
  </w:num>
  <w:num w:numId="2">
    <w:abstractNumId w:val="4"/>
  </w:num>
  <w:num w:numId="3">
    <w:abstractNumId w:val="1"/>
  </w:num>
  <w:num w:numId="4">
    <w:abstractNumId w:val="5"/>
  </w:num>
  <w:num w:numId="5">
    <w:abstractNumId w:val="3"/>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3405B"/>
    <w:rsid w:val="0FED10C7"/>
    <w:rsid w:val="33A71893"/>
    <w:rsid w:val="34967ECC"/>
    <w:rsid w:val="436C14A3"/>
    <w:rsid w:val="52E455A4"/>
    <w:rsid w:val="531E6A4B"/>
    <w:rsid w:val="5C804433"/>
    <w:rsid w:val="6C6340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outlineLvl w:val="0"/>
    </w:pPr>
    <w:rPr>
      <w:rFonts w:hint="eastAsia" w:ascii="宋体" w:hAnsi="宋体" w:eastAsia="方正小标宋简体" w:cs="宋体"/>
      <w:bCs/>
      <w:kern w:val="44"/>
      <w:sz w:val="44"/>
      <w:szCs w:val="48"/>
      <w:lang w:bidi="ar"/>
    </w:rPr>
  </w:style>
  <w:style w:type="paragraph" w:styleId="4">
    <w:name w:val="heading 2"/>
    <w:basedOn w:val="1"/>
    <w:next w:val="1"/>
    <w:semiHidden/>
    <w:unhideWhenUsed/>
    <w:qFormat/>
    <w:uiPriority w:val="0"/>
    <w:pPr>
      <w:spacing w:before="0" w:beforeAutospacing="0" w:after="0" w:afterAutospacing="0" w:line="360" w:lineRule="auto"/>
      <w:jc w:val="left"/>
      <w:outlineLvl w:val="1"/>
    </w:pPr>
    <w:rPr>
      <w:rFonts w:hint="eastAsia" w:ascii="宋体" w:hAnsi="宋体" w:eastAsia="黑体" w:cs="宋体"/>
      <w:bCs/>
      <w:kern w:val="0"/>
      <w:sz w:val="32"/>
      <w:szCs w:val="36"/>
      <w:lang w:bidi="ar"/>
    </w:rPr>
  </w:style>
  <w:style w:type="paragraph" w:styleId="5">
    <w:name w:val="heading 3"/>
    <w:basedOn w:val="1"/>
    <w:next w:val="1"/>
    <w:semiHidden/>
    <w:unhideWhenUsed/>
    <w:qFormat/>
    <w:uiPriority w:val="0"/>
    <w:pPr>
      <w:spacing w:before="0" w:beforeAutospacing="0" w:after="0" w:afterAutospacing="0" w:line="360" w:lineRule="auto"/>
      <w:jc w:val="left"/>
      <w:outlineLvl w:val="2"/>
    </w:pPr>
    <w:rPr>
      <w:rFonts w:hint="eastAsia" w:ascii="宋体" w:hAnsi="宋体" w:eastAsia="楷体_GB2312" w:cs="宋体"/>
      <w:bCs/>
      <w:kern w:val="0"/>
      <w:sz w:val="32"/>
      <w:szCs w:val="27"/>
      <w:lang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spacing w:after="120" w:line="240" w:lineRule="atLeast"/>
      <w:ind w:left="720"/>
      <w:jc w:val="left"/>
    </w:pPr>
    <w:rPr>
      <w:kern w:val="0"/>
      <w:sz w:val="20"/>
      <w:szCs w:val="20"/>
    </w:rPr>
  </w:style>
  <w:style w:type="paragraph" w:styleId="6">
    <w:name w:val="Body Text Indent"/>
    <w:basedOn w:val="1"/>
    <w:next w:val="7"/>
    <w:qFormat/>
    <w:uiPriority w:val="0"/>
    <w:pPr>
      <w:ind w:left="1260"/>
    </w:pPr>
    <w:rPr>
      <w:rFonts w:ascii="Calibri" w:hAnsi="Calibri"/>
    </w:rPr>
  </w:style>
  <w:style w:type="paragraph" w:styleId="7">
    <w:name w:val="envelope return"/>
    <w:basedOn w:val="1"/>
    <w:unhideWhenUsed/>
    <w:qFormat/>
    <w:uiPriority w:val="99"/>
    <w:pPr>
      <w:snapToGrid w:val="0"/>
    </w:pPr>
    <w:rPr>
      <w:rFonts w:ascii="Arial" w:hAnsi="Arial"/>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Body Text First Indent"/>
    <w:basedOn w:val="2"/>
    <w:unhideWhenUsed/>
    <w:qFormat/>
    <w:uiPriority w:val="0"/>
    <w:pPr>
      <w:widowControl w:val="0"/>
      <w:spacing w:line="240" w:lineRule="auto"/>
      <w:ind w:left="0" w:firstLine="420" w:firstLineChars="100"/>
      <w:jc w:val="both"/>
    </w:pPr>
    <w:rPr>
      <w:rFonts w:ascii="Arial" w:hAnsi="Arial"/>
      <w:kern w:val="2"/>
      <w:sz w:val="21"/>
      <w:szCs w:val="24"/>
    </w:rPr>
  </w:style>
  <w:style w:type="paragraph" w:styleId="10">
    <w:name w:val="Body Text First Indent 2"/>
    <w:basedOn w:val="6"/>
    <w:next w:val="9"/>
    <w:unhideWhenUsed/>
    <w:qFormat/>
    <w:uiPriority w:val="0"/>
    <w:pPr>
      <w:spacing w:after="120"/>
      <w:ind w:left="420" w:leftChars="200" w:firstLine="420" w:firstLineChars="200"/>
    </w:pPr>
    <w:rPr>
      <w:sz w:val="24"/>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2026-10-28T02:07:00Z</dcterms:created>
  <dc:creator>YLShi</dc:creator>
  <cp:lastModifiedBy>YLShi</cp:lastModifiedBy>
  <dcterms:modified xsi:type="dcterms:W3CDTF">2026-10-28T02:15:00Z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7D1A0559DCB74F218ADCCA2059158968_11</vt:lpwstr>
  </property>
  <property fmtid="{D5CDD505-2E9C-101B-9397-08002B2CF9AE}" pid="4" name="KSOTemplateDocerSaveRecord">
    <vt:lpwstr>eyJoZGlkIjoiZjg0OGM4OGNlNzNlODI5OGFmZjE0YWNkNGNiZGMyNGIiLCJ1c2VySWQiOiI2MjkyMzE5NzcifQ==</vt:lpwstr>
  </property>
</Properties>
</file>