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hint="eastAsia" w:ascii="黑体" w:hAnsi="黑体" w:eastAsia="黑体"/>
          <w:snapToGrid w:val="0"/>
          <w:spacing w:val="-10"/>
          <w:w w:val="90"/>
          <w:sz w:val="28"/>
        </w:rPr>
      </w:pPr>
      <w:bookmarkStart w:id="52" w:name="_GoBack"/>
      <w:bookmarkEnd w:id="52"/>
      <w:r>
        <w:rPr>
          <w:rFonts w:hint="eastAsia" w:ascii="黑体" w:hAnsi="黑体" w:eastAsia="黑体"/>
          <w:snapToGrid w:val="0"/>
          <w:spacing w:val="-10"/>
          <w:w w:val="90"/>
          <w:sz w:val="28"/>
        </w:rPr>
        <w:t>附件</w:t>
      </w:r>
      <w:r>
        <w:rPr>
          <w:rFonts w:hint="eastAsia" w:ascii="黑体" w:hAnsi="黑体" w:eastAsia="黑体"/>
          <w:snapToGrid w:val="0"/>
          <w:spacing w:val="-10"/>
          <w:w w:val="90"/>
          <w:sz w:val="28"/>
          <w:lang w:val="en-US" w:eastAsia="zh-CN"/>
        </w:rPr>
        <w:t>2</w:t>
      </w:r>
      <w:r>
        <w:rPr>
          <w:rFonts w:hint="eastAsia" w:ascii="黑体" w:hAnsi="黑体" w:eastAsia="黑体"/>
          <w:snapToGrid w:val="0"/>
          <w:spacing w:val="-10"/>
          <w:w w:val="90"/>
          <w:sz w:val="28"/>
        </w:rPr>
        <w:t>：</w:t>
      </w:r>
      <w:r>
        <w:rPr>
          <w:rFonts w:ascii="黑体" w:hAnsi="黑体" w:eastAsia="黑体"/>
          <w:snapToGrid w:val="0"/>
          <w:spacing w:val="-10"/>
          <w:w w:val="90"/>
          <w:sz w:val="28"/>
        </w:rPr>
        <w:t>项目需求</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0" w:name="_Toc29772"/>
      <w:r>
        <w:rPr>
          <w:rFonts w:hint="eastAsia" w:ascii="仿宋" w:hAnsi="仿宋" w:eastAsia="仿宋" w:cs="仿宋"/>
          <w:b/>
          <w:bCs/>
          <w:sz w:val="24"/>
          <w:szCs w:val="24"/>
        </w:rPr>
        <w:t>一、项目介绍</w:t>
      </w:r>
      <w:bookmarkEnd w:id="0"/>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bookmarkStart w:id="1" w:name="_Toc20375"/>
      <w:bookmarkStart w:id="2" w:name="_Toc14418"/>
      <w:r>
        <w:rPr>
          <w:rFonts w:hint="eastAsia" w:ascii="仿宋" w:hAnsi="仿宋" w:eastAsia="仿宋" w:cs="仿宋"/>
          <w:b/>
          <w:bCs/>
          <w:sz w:val="24"/>
          <w:szCs w:val="24"/>
          <w:lang w:val="en-US" w:eastAsia="zh-CN"/>
        </w:rPr>
        <w:t>（一）项目背景概述</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根据采购人信息技术应用创新工作安排，拟将23个联合开发系统全栈改造作为本项目采购内容。</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（二）需求依据和来源</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按照采购人2026年信息技术应用创新工作计划，开展联合开发系统开展全栈改造。</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（三）功能或目标</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完成20个联合开发系统的全栈改造及投产工作，具体系统包含：产品研发、贷款损失准备金管理、定价管理-定价模型-OLAP、客户服务、内部转移价格管理、债券承分销、资产负债管理、P5-支付结算领域、支付结算-国际结算组件、支付结算组件-支付、清算系统、汇路外币、外币支付、SWIFT报文服务平台、支付辅助、金融市场投资组合与资金交易定报价平台、投资组合与资金交易、对客资金交易、P5-对公外联平台、P3-内部产品、数据管理领域（详见附件）。</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2.完成3个已对数据库适配改造的联合开发系统的全栈改造及投产工作，具体系统包含：会计集中对账、新电子验印应用平台、查冻扣系统（详见附件）。</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上述系统改造应满足采购人提供的软硬件基础平台，包括但不限于服务器、操作系统、数据库、中间件等，要求支持主流国产产品，产品名录可参考中国信息安全测评中心发布的《安全可靠测评结果公告》，具体内容以采购人提供的内容为准。</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4.2026年12月前完成全部系统适配实施和投产上线，并提供1年的保修服务。</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5.配合完成上述系统的用户验收测试工作。</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6.完成上述系统的投产支持工作。</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lang w:val="en-US" w:eastAsia="zh-CN"/>
        </w:rPr>
        <w:t>7.配合完成上级管理单位的相关检查并按要求协助完成整改。</w:t>
      </w:r>
    </w:p>
    <w:bookmarkEnd w:id="1"/>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3" w:name="_Toc14009"/>
      <w:r>
        <w:rPr>
          <w:rFonts w:hint="eastAsia" w:ascii="仿宋" w:hAnsi="仿宋" w:eastAsia="仿宋" w:cs="仿宋"/>
          <w:b/>
          <w:bCs/>
          <w:sz w:val="24"/>
          <w:szCs w:val="24"/>
        </w:rPr>
        <w:t>二、</w:t>
      </w:r>
      <w:bookmarkEnd w:id="2"/>
      <w:r>
        <w:rPr>
          <w:rFonts w:hint="eastAsia" w:ascii="仿宋" w:hAnsi="仿宋" w:eastAsia="仿宋" w:cs="仿宋"/>
          <w:b/>
          <w:bCs/>
          <w:sz w:val="24"/>
          <w:szCs w:val="24"/>
        </w:rPr>
        <w:t>服务一览表</w:t>
      </w:r>
      <w:bookmarkEnd w:id="3"/>
    </w:p>
    <w:tbl>
      <w:tblPr>
        <w:tblStyle w:val="11"/>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524"/>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rPr>
            </w:pPr>
            <w:bookmarkStart w:id="4" w:name="_Toc20903"/>
            <w:r>
              <w:rPr>
                <w:rFonts w:hint="eastAsia" w:ascii="黑体" w:hAnsi="黑体" w:eastAsia="黑体" w:cs="黑体"/>
                <w:b/>
                <w:bCs/>
                <w:color w:val="auto"/>
                <w:sz w:val="24"/>
              </w:rPr>
              <w:t>序号</w:t>
            </w:r>
          </w:p>
        </w:tc>
        <w:tc>
          <w:tcPr>
            <w:tcW w:w="152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lang w:eastAsia="zh-CN"/>
              </w:rPr>
            </w:pPr>
            <w:r>
              <w:rPr>
                <w:rFonts w:hint="eastAsia" w:ascii="黑体" w:hAnsi="黑体" w:eastAsia="黑体" w:cs="黑体"/>
                <w:b/>
                <w:bCs/>
                <w:color w:val="auto"/>
                <w:sz w:val="24"/>
              </w:rPr>
              <w:t>服务</w:t>
            </w:r>
            <w:r>
              <w:rPr>
                <w:rFonts w:hint="eastAsia" w:ascii="黑体" w:hAnsi="黑体" w:eastAsia="黑体" w:cs="黑体"/>
                <w:b/>
                <w:bCs/>
                <w:color w:val="auto"/>
                <w:sz w:val="24"/>
                <w:lang w:val="en-US" w:eastAsia="zh-CN"/>
              </w:rPr>
              <w:t>内容</w:t>
            </w:r>
          </w:p>
        </w:tc>
        <w:tc>
          <w:tcPr>
            <w:tcW w:w="67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auto"/>
                <w:sz w:val="24"/>
              </w:rPr>
            </w:pPr>
            <w:r>
              <w:rPr>
                <w:rFonts w:hint="default" w:ascii="黑体" w:hAnsi="黑体" w:eastAsia="黑体" w:cs="黑体"/>
                <w:b/>
                <w:bCs/>
                <w:color w:val="auto"/>
                <w:sz w:val="24"/>
                <w:lang w:eastAsia="zh-CN"/>
              </w:rPr>
              <w:t>主要</w:t>
            </w:r>
            <w:r>
              <w:rPr>
                <w:rFonts w:hint="eastAsia" w:ascii="黑体" w:hAnsi="黑体" w:eastAsia="黑体" w:cs="黑体"/>
                <w:b/>
                <w:bCs/>
                <w:color w:val="auto"/>
                <w:sz w:val="24"/>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6"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1524"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6768"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项目管理</w:t>
            </w:r>
          </w:p>
        </w:tc>
        <w:tc>
          <w:tcPr>
            <w:tcW w:w="6768" w:type="dxa"/>
            <w:tcBorders>
              <w:top w:val="single" w:color="auto" w:sz="4" w:space="0"/>
              <w:left w:val="single" w:color="auto" w:sz="4" w:space="0"/>
              <w:right w:val="single" w:color="auto" w:sz="4" w:space="0"/>
            </w:tcBorders>
            <w:noWrap w:val="0"/>
            <w:vAlign w:val="center"/>
          </w:tcPr>
          <w:p>
            <w:pPr>
              <w:pStyle w:val="6"/>
              <w:widowControl/>
              <w:numPr>
                <w:ilvl w:val="0"/>
                <w:numId w:val="0"/>
              </w:numPr>
              <w:spacing w:after="0" w:line="400" w:lineRule="exact"/>
              <w:ind w:left="0" w:leftChars="0" w:firstLine="0" w:firstLineChars="0"/>
              <w:jc w:val="left"/>
              <w:rPr>
                <w:rFonts w:hint="default" w:ascii="仿宋_GB2312" w:hAnsi="仿宋_GB2312" w:eastAsia="仿宋_GB2312" w:cs="仿宋_GB2312"/>
                <w:color w:val="auto"/>
                <w:sz w:val="24"/>
                <w:lang w:eastAsia="zh-CN"/>
              </w:rPr>
            </w:pPr>
            <w:r>
              <w:rPr>
                <w:rFonts w:hint="eastAsia" w:ascii="Times New Roman" w:hAnsi="楷体" w:eastAsia="仿宋_GB2312"/>
                <w:sz w:val="24"/>
                <w:szCs w:val="22"/>
                <w:lang w:val="en-US" w:eastAsia="zh-CN"/>
              </w:rPr>
              <w:t>配合采购人开展以下工作：</w:t>
            </w:r>
            <w:r>
              <w:rPr>
                <w:rFonts w:hint="default" w:ascii="Times New Roman" w:hAnsi="楷体" w:eastAsia="仿宋_GB2312"/>
                <w:sz w:val="24"/>
                <w:szCs w:val="22"/>
              </w:rPr>
              <w:t>制定项目计划，监督和控制项目进度</w:t>
            </w:r>
            <w:r>
              <w:rPr>
                <w:rFonts w:hint="eastAsia" w:ascii="Times New Roman" w:hAnsi="楷体" w:eastAsia="仿宋_GB2312"/>
                <w:sz w:val="24"/>
                <w:szCs w:val="22"/>
                <w:lang w:val="en-US" w:eastAsia="zh-CN"/>
              </w:rPr>
              <w:t>；</w:t>
            </w:r>
            <w:r>
              <w:rPr>
                <w:rFonts w:hint="default" w:hAnsi="楷体" w:eastAsia="仿宋_GB2312"/>
                <w:sz w:val="24"/>
                <w:szCs w:val="22"/>
                <w:lang w:eastAsia="zh-CN"/>
              </w:rPr>
              <w:t>负责</w:t>
            </w:r>
            <w:r>
              <w:rPr>
                <w:rFonts w:hint="default" w:ascii="Times New Roman" w:hAnsi="楷体" w:eastAsia="仿宋_GB2312"/>
                <w:sz w:val="24"/>
                <w:szCs w:val="22"/>
              </w:rPr>
              <w:t>管理安排项目资源</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实施项目配置和交付管理以及项目质量管理</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项目问题管理和项目风险管理</w:t>
            </w:r>
            <w:r>
              <w:rPr>
                <w:rFonts w:hint="eastAsia" w:ascii="Times New Roman" w:hAnsi="楷体" w:eastAsia="仿宋_GB2312"/>
                <w:sz w:val="24"/>
                <w:szCs w:val="22"/>
                <w:lang w:val="en-US" w:eastAsia="zh-CN"/>
              </w:rPr>
              <w:t>；</w:t>
            </w:r>
            <w:r>
              <w:rPr>
                <w:rFonts w:hint="default" w:ascii="Times New Roman" w:hAnsi="楷体" w:eastAsia="仿宋_GB2312"/>
                <w:sz w:val="24"/>
                <w:szCs w:val="22"/>
              </w:rPr>
              <w:t>按照要求</w:t>
            </w:r>
            <w:r>
              <w:rPr>
                <w:rFonts w:hint="eastAsia" w:ascii="Times New Roman" w:hAnsi="楷体" w:eastAsia="仿宋_GB2312"/>
                <w:sz w:val="24"/>
                <w:szCs w:val="22"/>
                <w:lang w:val="en-US" w:eastAsia="zh-CN"/>
              </w:rPr>
              <w:t>定期</w:t>
            </w:r>
            <w:r>
              <w:rPr>
                <w:rFonts w:hint="default" w:ascii="Times New Roman" w:hAnsi="楷体" w:eastAsia="仿宋_GB2312"/>
                <w:sz w:val="24"/>
                <w:szCs w:val="22"/>
              </w:rPr>
              <w:t>进行工作报告</w:t>
            </w:r>
            <w:r>
              <w:rPr>
                <w:rFonts w:hint="eastAsia" w:ascii="Times New Roman" w:hAnsi="楷体" w:eastAsia="仿宋_GB2312"/>
                <w:sz w:val="24"/>
                <w:szCs w:val="2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66" w:type="dxa"/>
            <w:tcBorders>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eastAsia="zh-CN"/>
              </w:rPr>
            </w:pPr>
            <w:r>
              <w:rPr>
                <w:rFonts w:hint="default" w:ascii="仿宋_GB2312" w:hAnsi="仿宋_GB2312" w:eastAsia="仿宋_GB2312" w:cs="仿宋_GB2312"/>
                <w:color w:val="auto"/>
                <w:sz w:val="24"/>
                <w:lang w:eastAsia="zh-CN"/>
              </w:rPr>
              <w:t>设</w:t>
            </w:r>
            <w:r>
              <w:rPr>
                <w:rFonts w:hint="eastAsia" w:ascii="仿宋_GB2312" w:hAnsi="仿宋_GB2312" w:eastAsia="仿宋_GB2312" w:cs="仿宋_GB2312"/>
                <w:color w:val="auto"/>
                <w:sz w:val="24"/>
                <w:lang w:val="en-US" w:eastAsia="zh-CN"/>
              </w:rPr>
              <w:t xml:space="preserve">  </w:t>
            </w:r>
            <w:r>
              <w:rPr>
                <w:rFonts w:hint="default" w:ascii="仿宋_GB2312" w:hAnsi="仿宋_GB2312" w:eastAsia="仿宋_GB2312" w:cs="仿宋_GB2312"/>
                <w:color w:val="auto"/>
                <w:sz w:val="24"/>
                <w:lang w:eastAsia="zh-CN"/>
              </w:rPr>
              <w:t>计</w:t>
            </w:r>
          </w:p>
        </w:tc>
        <w:tc>
          <w:tcPr>
            <w:tcW w:w="6768"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完成项目整体适配改造方案，</w:t>
            </w:r>
            <w:r>
              <w:rPr>
                <w:rFonts w:hint="default" w:ascii="仿宋_GB2312" w:hAnsi="仿宋_GB2312" w:eastAsia="仿宋_GB2312" w:cs="仿宋_GB2312"/>
                <w:color w:val="auto"/>
                <w:sz w:val="24"/>
                <w:lang w:eastAsia="zh-CN"/>
              </w:rPr>
              <w:t>完成</w:t>
            </w:r>
            <w:r>
              <w:rPr>
                <w:rFonts w:hint="eastAsia" w:ascii="仿宋_GB2312" w:hAnsi="仿宋_GB2312" w:eastAsia="仿宋_GB2312" w:cs="仿宋_GB2312"/>
                <w:color w:val="auto"/>
                <w:sz w:val="24"/>
                <w:lang w:val="en-US" w:eastAsia="zh-CN"/>
              </w:rPr>
              <w:t>相关</w:t>
            </w:r>
            <w:r>
              <w:rPr>
                <w:rFonts w:hint="default" w:ascii="仿宋_GB2312" w:hAnsi="仿宋_GB2312" w:eastAsia="仿宋_GB2312" w:cs="仿宋_GB2312"/>
                <w:color w:val="auto"/>
                <w:sz w:val="24"/>
                <w:lang w:eastAsia="zh-CN"/>
              </w:rPr>
              <w:t>物理子系统的概要设计、详细设计等相关工作，形成相应</w:t>
            </w:r>
            <w:r>
              <w:rPr>
                <w:rFonts w:hint="eastAsia" w:ascii="仿宋_GB2312" w:hAnsi="仿宋_GB2312" w:eastAsia="仿宋_GB2312" w:cs="仿宋_GB2312"/>
                <w:color w:val="auto"/>
                <w:sz w:val="24"/>
                <w:lang w:val="en-US" w:eastAsia="zh-CN"/>
              </w:rPr>
              <w:t>设计</w:t>
            </w:r>
            <w:r>
              <w:rPr>
                <w:rFonts w:hint="default" w:ascii="仿宋_GB2312" w:hAnsi="仿宋_GB2312" w:eastAsia="仿宋_GB2312" w:cs="仿宋_GB2312"/>
                <w:color w:val="auto"/>
                <w:sz w:val="24"/>
                <w:lang w:eastAsia="zh-CN"/>
              </w:rPr>
              <w:t>说明书</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并根据适配开发特点</w:t>
            </w:r>
            <w:r>
              <w:rPr>
                <w:rFonts w:hint="eastAsia" w:ascii="仿宋_GB2312" w:hAnsi="仿宋_GB2312" w:eastAsia="仿宋_GB2312" w:cs="仿宋_GB2312"/>
                <w:color w:val="auto"/>
                <w:sz w:val="24"/>
                <w:highlight w:val="none"/>
                <w:lang w:val="en-US" w:eastAsia="zh-CN"/>
              </w:rPr>
              <w:t>制定面向</w:t>
            </w:r>
            <w:r>
              <w:rPr>
                <w:rFonts w:hint="eastAsia" w:ascii="仿宋_GB2312" w:hAnsi="仿宋_GB2312" w:eastAsia="仿宋_GB2312" w:cs="仿宋_GB2312"/>
                <w:color w:val="auto"/>
                <w:sz w:val="24"/>
                <w:lang w:val="en-US" w:eastAsia="zh-CN"/>
              </w:rPr>
              <w:t>信息技术应用创新</w:t>
            </w:r>
            <w:r>
              <w:rPr>
                <w:rFonts w:hint="eastAsia" w:ascii="仿宋_GB2312" w:hAnsi="仿宋_GB2312" w:eastAsia="仿宋_GB2312" w:cs="仿宋_GB2312"/>
                <w:color w:val="auto"/>
                <w:sz w:val="24"/>
                <w:highlight w:val="none"/>
                <w:lang w:val="en-US" w:eastAsia="zh-CN"/>
              </w:rPr>
              <w:t>的开发工艺。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66" w:type="dxa"/>
            <w:tcBorders>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  发</w:t>
            </w:r>
          </w:p>
        </w:tc>
        <w:tc>
          <w:tcPr>
            <w:tcW w:w="6768"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根据概要设计和详细设计按计划完成开发，实现设计功能</w:t>
            </w:r>
            <w:r>
              <w:rPr>
                <w:rFonts w:hint="default"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完成单元测试等工作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测  试</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开展产品、系统集成等测试工作，包括测试计划、准备和执行，完成测试案例、脚本及数据的编制和准备，及时组织系统修补和必要的回归测试，形成测试报告；协助开展用户验收测试相关工作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投产支持</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为系统投产提供必要支持，包括但不限于按计划参与投产演练；提供投产操作手册、应急方案等必要投产文档；提供数据迁移方案和支持服务；根据投产内容调整用户手册、运维手册、应急预案等相关文档；提供投产日技术支持；提供投产总结支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运维支持</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为系统运维提供必要支持，满足采购人运维管理要求；开展对现场人员支持及运维培训等工作。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66"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hanging="454" w:firstLineChars="0"/>
              <w:jc w:val="center"/>
              <w:textAlignment w:val="auto"/>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培  训</w:t>
            </w:r>
          </w:p>
        </w:tc>
        <w:tc>
          <w:tcPr>
            <w:tcW w:w="67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auto"/>
                <w:sz w:val="24"/>
                <w:lang w:val="en-US" w:eastAsia="zh-CN"/>
              </w:rPr>
              <w:t>通过必要培训使采购人相关人员熟悉系统内容和功能，以及使用权限划分与操作方式，包括系统架构、部署运维、参数配置等内容；提供完备的培训材料。</w:t>
            </w:r>
          </w:p>
        </w:tc>
      </w:tr>
    </w:tbl>
    <w:p>
      <w:pPr>
        <w:rPr>
          <w:rFonts w:hint="eastAsia"/>
        </w:rPr>
      </w:pP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r>
        <w:rPr>
          <w:rFonts w:hint="eastAsia" w:ascii="仿宋" w:hAnsi="仿宋" w:eastAsia="仿宋" w:cs="仿宋"/>
          <w:b/>
          <w:bCs/>
          <w:sz w:val="24"/>
          <w:szCs w:val="24"/>
        </w:rPr>
        <w:t>三、业务要求</w:t>
      </w:r>
      <w:bookmarkEnd w:id="4"/>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本项目仅实施信息技术应用创新适配改造，不对系统功能、业务流程进行调整。</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5" w:name="_Toc3223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技术要求</w:t>
      </w:r>
      <w:bookmarkEnd w:id="5"/>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系统改造应满足采购人提供的软硬件基础平台，要求支持主流国产产品，产品名录可参考中国信息安全测评中心发布的《安全可靠测评结果公告》，具体内容以采购人提供的内容为准。</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（一）数据库适配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需为关系型数据库，不采用开源软件，要求适配包括但不限于goldenDB、达梦、TDSql及GaussDB/openGauss等国内主流数据库软件。完成数据库适配改造，包括库表结构DDL改造、SQL语句调整、映射替换、重构SQL语句、重构存储过程改造等工作。</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（二）中间件适配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完成国产中间件适配改造，要求适配包括但不限于东方通、宝蓝德等国内主流中间件软件。</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（三）浏览器适配</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要求兼容但不限于奇安信安全浏览器个人版和360安全浏览器个人版，同时需支持Windows操作系统终端的Chrome浏览器等。</w:t>
      </w:r>
    </w:p>
    <w:p>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（四）硬件及操作系统</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服务器：包括但不限于基于鲲鹏</w:t>
      </w:r>
      <w:r>
        <w:rPr>
          <w:rFonts w:hint="eastAsia" w:ascii="仿宋" w:hAnsi="仿宋" w:eastAsia="仿宋" w:cs="仿宋"/>
          <w:sz w:val="24"/>
          <w:szCs w:val="24"/>
          <w:lang w:val="en-US" w:eastAsia="zh-CN"/>
        </w:rPr>
        <w:t>ARM、海光X86等架构的硬件产品；</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桌面终端：包括但不限于飞腾和兆芯CPU等架构终端。</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服务器操作系统：包括但不限于麒麟KYLIN Linux Advanced Server V10或统信UOS V20。</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桌面操作系统：包括但不限于银河麒麟桌面操作系统 V10 SP1 2203及以上版本和统信桌面操作系统 V20 专业版1050及以上版本。</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（五）信息技术应用创新软硬件版本以入场后采购人实际情况为准。</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（六）数据迁移</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完成数据迁移方案制定、工具开发、数据迁移等工作。</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bookmarkStart w:id="6" w:name="_Toc22237"/>
      <w:r>
        <w:rPr>
          <w:rFonts w:hint="eastAsia" w:ascii="仿宋" w:hAnsi="仿宋" w:eastAsia="仿宋" w:cs="仿宋"/>
          <w:b/>
          <w:bCs/>
          <w:sz w:val="24"/>
          <w:szCs w:val="24"/>
        </w:rPr>
        <w:t>五、</w:t>
      </w:r>
      <w:r>
        <w:rPr>
          <w:rFonts w:hint="eastAsia" w:ascii="仿宋" w:hAnsi="仿宋" w:eastAsia="仿宋" w:cs="仿宋"/>
          <w:b/>
          <w:bCs/>
          <w:sz w:val="24"/>
          <w:szCs w:val="24"/>
          <w:lang w:val="en-US"/>
        </w:rPr>
        <w:t>服务</w:t>
      </w:r>
      <w:r>
        <w:rPr>
          <w:rFonts w:hint="eastAsia" w:ascii="仿宋" w:hAnsi="仿宋" w:eastAsia="仿宋" w:cs="仿宋"/>
          <w:b/>
          <w:bCs/>
          <w:sz w:val="24"/>
          <w:szCs w:val="24"/>
        </w:rPr>
        <w:t>要求</w:t>
      </w:r>
      <w:bookmarkEnd w:id="6"/>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服务要求</w:t>
      </w:r>
    </w:p>
    <w:p>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供应商应确保</w:t>
      </w:r>
      <w:r>
        <w:rPr>
          <w:rFonts w:hint="eastAsia" w:ascii="仿宋" w:hAnsi="仿宋" w:eastAsia="仿宋" w:cs="仿宋"/>
          <w:sz w:val="24"/>
          <w:szCs w:val="24"/>
          <w:lang w:eastAsia="zh-CN"/>
        </w:rPr>
        <w:t>采购人</w:t>
      </w:r>
      <w:r>
        <w:rPr>
          <w:rFonts w:hint="eastAsia" w:ascii="仿宋" w:hAnsi="仿宋" w:eastAsia="仿宋" w:cs="仿宋"/>
          <w:sz w:val="24"/>
          <w:szCs w:val="24"/>
        </w:rPr>
        <w:t>享有对核心产品软件系统拥有永久的、不可撤销的、不可转让的修改权、复制权及其他使用权，以及对客户化软件及核心产品软件系统中客户化部分的全部知识产权。为实现上述目的，供应商应向</w:t>
      </w:r>
      <w:r>
        <w:rPr>
          <w:rFonts w:hint="eastAsia" w:ascii="仿宋" w:hAnsi="仿宋" w:eastAsia="仿宋" w:cs="仿宋"/>
          <w:sz w:val="24"/>
          <w:szCs w:val="24"/>
          <w:lang w:eastAsia="zh-CN"/>
        </w:rPr>
        <w:t>采购人</w:t>
      </w:r>
      <w:r>
        <w:rPr>
          <w:rFonts w:hint="eastAsia" w:ascii="仿宋" w:hAnsi="仿宋" w:eastAsia="仿宋" w:cs="仿宋"/>
          <w:sz w:val="24"/>
          <w:szCs w:val="24"/>
        </w:rPr>
        <w:t>提供客户化软件及核心产品系统中客户化部分的目标程序及源代码。源代码提供方式双方协商确定。</w:t>
      </w:r>
    </w:p>
    <w:p>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保证能够满足项目实施全生命周期中对开发、测试的要求，并支持通过开发实现对未来业务和技术功能的扩展。</w:t>
      </w:r>
    </w:p>
    <w:p>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为项目配备具有相关资质、技能和经验的技术服务人员，提供所需的信息技术服务。在人员供给方面，应高效及时提供满足</w:t>
      </w:r>
      <w:r>
        <w:rPr>
          <w:rFonts w:hint="eastAsia" w:ascii="仿宋" w:hAnsi="仿宋" w:eastAsia="仿宋" w:cs="仿宋"/>
          <w:sz w:val="24"/>
          <w:szCs w:val="24"/>
          <w:lang w:eastAsia="zh-CN"/>
        </w:rPr>
        <w:t>采购人</w:t>
      </w:r>
      <w:r>
        <w:rPr>
          <w:rFonts w:hint="eastAsia" w:ascii="仿宋" w:hAnsi="仿宋" w:eastAsia="仿宋" w:cs="仿宋"/>
          <w:sz w:val="24"/>
          <w:szCs w:val="24"/>
        </w:rPr>
        <w:t>要求的高质量人力资源，并且公司应该具备此类人力资源的储备，保证满足</w:t>
      </w:r>
      <w:r>
        <w:rPr>
          <w:rFonts w:hint="eastAsia" w:ascii="仿宋" w:hAnsi="仿宋" w:eastAsia="仿宋" w:cs="仿宋"/>
          <w:sz w:val="24"/>
          <w:szCs w:val="24"/>
          <w:lang w:eastAsia="zh-CN"/>
        </w:rPr>
        <w:t>采购人</w:t>
      </w:r>
      <w:r>
        <w:rPr>
          <w:rFonts w:hint="eastAsia" w:ascii="仿宋" w:hAnsi="仿宋" w:eastAsia="仿宋" w:cs="仿宋"/>
          <w:sz w:val="24"/>
          <w:szCs w:val="24"/>
        </w:rPr>
        <w:t>各项业务需求的开发质量及时间要求。在人员稳定性方面，应有效保障服务队伍的稳定性，以确保服务质量。在人员培训方面，应定期对服务人员进行内部培训，以使人员不断补充提高服务技能。</w:t>
      </w:r>
    </w:p>
    <w:p>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供应商通过电话、电子邮件、传真等可能必要方式向</w:t>
      </w:r>
      <w:r>
        <w:rPr>
          <w:rFonts w:hint="eastAsia" w:ascii="仿宋" w:hAnsi="仿宋" w:eastAsia="仿宋" w:cs="仿宋"/>
          <w:sz w:val="24"/>
          <w:szCs w:val="24"/>
          <w:lang w:eastAsia="zh-CN"/>
        </w:rPr>
        <w:t>采购人</w:t>
      </w:r>
      <w:r>
        <w:rPr>
          <w:rFonts w:hint="eastAsia" w:ascii="仿宋" w:hAnsi="仿宋" w:eastAsia="仿宋" w:cs="仿宋"/>
          <w:sz w:val="24"/>
          <w:szCs w:val="24"/>
        </w:rPr>
        <w:t>提供远程技术支持，及时响应</w:t>
      </w:r>
      <w:r>
        <w:rPr>
          <w:rFonts w:hint="eastAsia" w:ascii="仿宋" w:hAnsi="仿宋" w:eastAsia="仿宋" w:cs="仿宋"/>
          <w:sz w:val="24"/>
          <w:szCs w:val="24"/>
          <w:lang w:eastAsia="zh-CN"/>
        </w:rPr>
        <w:t>采购人</w:t>
      </w:r>
      <w:r>
        <w:rPr>
          <w:rFonts w:hint="eastAsia" w:ascii="仿宋" w:hAnsi="仿宋" w:eastAsia="仿宋" w:cs="仿宋"/>
          <w:sz w:val="24"/>
          <w:szCs w:val="24"/>
        </w:rPr>
        <w:t>服务请求，必要时协商提供人员现场服务支持。</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主要交付物</w:t>
      </w:r>
    </w:p>
    <w:p>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在项目工作书中明确交付物类型、内容及交付形式。</w:t>
      </w:r>
    </w:p>
    <w:tbl>
      <w:tblPr>
        <w:tblStyle w:val="11"/>
        <w:tblW w:w="47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53" w:type="pct"/>
            <w:shd w:val="clear" w:color="auto" w:fill="BEBEBE"/>
            <w:noWrap w:val="0"/>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过程域</w:t>
            </w:r>
          </w:p>
        </w:tc>
        <w:tc>
          <w:tcPr>
            <w:tcW w:w="3946" w:type="pct"/>
            <w:shd w:val="clear" w:color="auto" w:fill="BEBEBE"/>
            <w:noWrap w:val="0"/>
            <w:vAlign w:val="center"/>
          </w:tcPr>
          <w:p>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项目管理</w:t>
            </w: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《项目详细实施计划》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《项目质量审计报告》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《关键人员简历》</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《关键人员人力资源变动报告》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项目状态报告：日常管理采用周报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noWrap w:val="0"/>
            <w:vAlign w:val="center"/>
          </w:tcPr>
          <w:p>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架构管理</w:t>
            </w:r>
          </w:p>
        </w:tc>
        <w:tc>
          <w:tcPr>
            <w:tcW w:w="3946" w:type="pct"/>
            <w:noWrap w:val="0"/>
            <w:vAlign w:val="top"/>
          </w:tcPr>
          <w:p>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项目架构方案说明书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需求分析</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《功能需求规格说明书》</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《非功能需求规格说明书》（如有）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设计</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lang w:val="en-US" w:eastAsia="zh-CN"/>
              </w:rPr>
              <w:t>信息技术应用创新改造方案（如有）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应用系统部署架构（如有）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基础软硬件配置清单（如有）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开发</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《单元测试案例》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测试</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《应用组装测试报告》</w:t>
            </w: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通过用户验收测试后的源代码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业务培训</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《用户操作手册》（如有）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技术培训</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系统投产</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《投产任务跟踪表》（按版本）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《操作控制表》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待投产的应用程序版本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《应急预案》（如有）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《投产报告》（按版本）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《运维手册》、《日志报错代码表》、《批量手册》、《监控手册》、《知识库》（如有）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restart"/>
            <w:noWrap w:val="0"/>
            <w:vAlign w:val="center"/>
          </w:tcPr>
          <w:p>
            <w:pPr>
              <w:spacing w:line="240"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保修期</w:t>
            </w: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知识转移文档：《运维手册》（含《日志存储备份清理方案》等日常运维的必要件）、《日志报错代码表》、《批量手册》、《监控手册》（如有）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知识库（包含《上线运行问题报告和问题跟踪表》、《重大问题分析报告》（如有））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保修期</w:t>
            </w:r>
            <w:r>
              <w:rPr>
                <w:rFonts w:hint="eastAsia" w:ascii="仿宋_GB2312" w:hAnsi="仿宋_GB2312" w:eastAsia="仿宋_GB2312" w:cs="仿宋_GB2312"/>
              </w:rPr>
              <w:t>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3" w:type="pct"/>
            <w:vMerge w:val="continue"/>
            <w:noWrap w:val="0"/>
            <w:vAlign w:val="center"/>
          </w:tcPr>
          <w:p>
            <w:pPr>
              <w:spacing w:line="240" w:lineRule="auto"/>
              <w:rPr>
                <w:rFonts w:hint="eastAsia" w:ascii="仿宋_GB2312" w:hAnsi="仿宋_GB2312" w:eastAsia="仿宋_GB2312" w:cs="仿宋_GB2312"/>
              </w:rPr>
            </w:pPr>
          </w:p>
        </w:tc>
        <w:tc>
          <w:tcPr>
            <w:tcW w:w="3946" w:type="pct"/>
            <w:noWrap w:val="0"/>
            <w:vAlign w:val="top"/>
          </w:tcPr>
          <w:p>
            <w:pPr>
              <w:spacing w:line="240" w:lineRule="auto"/>
              <w:rPr>
                <w:rFonts w:hint="eastAsia" w:ascii="仿宋_GB2312" w:hAnsi="仿宋_GB2312" w:eastAsia="仿宋_GB2312" w:cs="仿宋_GB2312"/>
              </w:rPr>
            </w:pPr>
            <w:r>
              <w:rPr>
                <w:rFonts w:hint="eastAsia" w:ascii="仿宋_GB2312" w:hAnsi="仿宋_GB2312" w:eastAsia="仿宋_GB2312" w:cs="仿宋_GB2312"/>
              </w:rPr>
              <w:t>《月度</w:t>
            </w:r>
            <w:r>
              <w:rPr>
                <w:rFonts w:hint="eastAsia" w:ascii="仿宋_GB2312" w:hAnsi="仿宋_GB2312" w:eastAsia="仿宋_GB2312" w:cs="仿宋_GB2312"/>
                <w:lang w:val="en-US" w:eastAsia="zh-CN"/>
              </w:rPr>
              <w:t>保修情况</w:t>
            </w:r>
            <w:r>
              <w:rPr>
                <w:rFonts w:hint="eastAsia" w:ascii="仿宋_GB2312" w:hAnsi="仿宋_GB2312" w:eastAsia="仿宋_GB2312" w:cs="仿宋_GB2312"/>
              </w:rPr>
              <w:t>报告》</w:t>
            </w:r>
          </w:p>
        </w:tc>
      </w:tr>
    </w:tbl>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rPr>
        <w:t>六、项目团队要求</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熟悉采购人联合开发系统实施现状，具有项目系统相关实施经验；具备完成服务范围内各项工作的能力；团队中关键核心岗位人员（如项目经理）不得外包。</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1.项目经理、关键技术人员应具有服务同类项目和系统的工作经验，提供人员简历。如发生更换，对替代人员的工作经验要求相同。</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3.承诺进入现场服务人员，要提供人员简历、学历证明复印件及人员相关认证资质复印件，签署安全保密承诺书，并满足采购人管理要求：</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（1）服务人员必须遵守采购人作息制度和相关工作制度规定，提供5*8小时驻场服务。</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（2）服务期间，所有服务人员必须严格按照采购人各项规章制度合规开展工作；驻场服务地点双方协商确定。</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（3）服务人员不得随意更换。如果更换人员则供应商应提前1个月通知采购人，并经过采购人审核通过后方可换人。同时要求新换人员必须通过采购人的审核，且由供应商保证人员更换期间支持工作的连续性；</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（4）如果服务人员因违反采购人工作纪律或相关运行制度，并给采购人造成了损失，则供应商有责任进行赔偿，具体赔偿标准见合同。</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（5）根据支持效果，对于不能够胜任工作的人员，采购人有权利要求供应商重新进行调换。同时由供应商保证人员更换期间支持工作的连续性。</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lang w:val="en-US"/>
        </w:rPr>
        <w:t>、安全要求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在未征得采购人同意的情况下，供应商供应商必须保证所提供的人员能够严格遵守各项规章制度，主要包括但不限于以下内容：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（一）法律合规方面，应有效规避实施过程中给采购人带来的法律风险。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（二）信息安全方面，应有效规避因服务人员导致的银行信息（如业务数据和商务信息等）泄漏风险。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（三）生产安全方面，应严格规避因人员操作不当，导致的银行系统出现安全性和稳定性风险事件。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（四）安全审计方面，应确保针对银行设备的相关操作留有纸质或视频记录。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保密要求方面，供应商对项目实施中涉及到的相关数据、资料、文档等具有保密的义务，并应按照相应保密规定执行。本项目所形成的数据成果归采购人所有。未经采购人同意，供应商不得向第三方泄露、公开或用于提供法律服务之外的其他目的，对掌握的采购人、采购人客户的资料，供应商应采取措施与其他客户资料施行有效隔离。</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val="en-US"/>
        </w:rPr>
        <w:t>、交付或实施时间、地点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（一）项目周期</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合同签署至项目验收后12个月。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（二）服务地点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中国进出口银行信息科技部（北京或其他双方约定地点）。</w:t>
      </w:r>
    </w:p>
    <w:p>
      <w:pPr>
        <w:pStyle w:val="8"/>
        <w:numPr>
          <w:ilvl w:val="0"/>
          <w:numId w:val="2"/>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财务支付要求</w:t>
      </w:r>
    </w:p>
    <w:tbl>
      <w:tblPr>
        <w:tblStyle w:val="1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81"/>
        <w:gridCol w:w="429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70"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序号</w:t>
            </w:r>
          </w:p>
        </w:tc>
        <w:tc>
          <w:tcPr>
            <w:tcW w:w="1281"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付款节点</w:t>
            </w:r>
          </w:p>
        </w:tc>
        <w:tc>
          <w:tcPr>
            <w:tcW w:w="4296"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付款条件</w:t>
            </w:r>
          </w:p>
        </w:tc>
        <w:tc>
          <w:tcPr>
            <w:tcW w:w="2187" w:type="dxa"/>
            <w:noWrap w:val="0"/>
            <w:vAlign w:val="center"/>
          </w:tcPr>
          <w:p>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付款比例(或金额)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eastAsia="仿宋_GB2312"/>
                <w:color w:val="auto"/>
                <w:sz w:val="24"/>
                <w:szCs w:val="22"/>
              </w:rPr>
            </w:pPr>
            <w:r>
              <w:rPr>
                <w:rFonts w:hAnsi="楷体" w:eastAsia="仿宋_GB2312"/>
                <w:color w:val="auto"/>
                <w:sz w:val="24"/>
                <w:szCs w:val="22"/>
              </w:rPr>
              <w:t>１</w:t>
            </w:r>
          </w:p>
        </w:tc>
        <w:tc>
          <w:tcPr>
            <w:tcW w:w="1281"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rPr>
            </w:pPr>
            <w:r>
              <w:rPr>
                <w:rFonts w:hAnsi="楷体" w:eastAsia="仿宋_GB2312"/>
                <w:color w:val="auto"/>
                <w:sz w:val="24"/>
                <w:szCs w:val="22"/>
              </w:rPr>
              <w:t>首付款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auto"/>
                <w:sz w:val="24"/>
                <w:szCs w:val="22"/>
                <w:lang w:val="en-US" w:eastAsia="zh-CN"/>
              </w:rPr>
            </w:pPr>
            <w:r>
              <w:rPr>
                <w:rFonts w:hint="eastAsia" w:hAnsi="楷体" w:eastAsia="仿宋_GB2312" w:cs="Times New Roman"/>
                <w:color w:val="auto"/>
                <w:kern w:val="2"/>
                <w:sz w:val="24"/>
                <w:szCs w:val="22"/>
                <w:lang w:val="en-US" w:eastAsia="zh-CN"/>
              </w:rPr>
              <w:t>合同签署</w:t>
            </w:r>
            <w:r>
              <w:rPr>
                <w:rFonts w:hint="default" w:ascii="Times New Roman" w:hAnsi="楷体" w:eastAsia="仿宋_GB2312" w:cs="Times New Roman"/>
                <w:color w:val="auto"/>
                <w:kern w:val="2"/>
                <w:sz w:val="24"/>
                <w:szCs w:val="22"/>
              </w:rPr>
              <w:t>后，采购人在收到乙方出具的付款申请及相应金额经采购人认可的合法有效发票之日起</w:t>
            </w:r>
            <w:r>
              <w:rPr>
                <w:rFonts w:hint="eastAsia" w:hAnsi="楷体" w:eastAsia="仿宋_GB2312" w:cs="Times New Roman"/>
                <w:color w:val="auto"/>
                <w:kern w:val="2"/>
                <w:sz w:val="24"/>
                <w:szCs w:val="22"/>
                <w:lang w:val="en-US" w:eastAsia="zh-CN"/>
              </w:rPr>
              <w:t>20个工作</w:t>
            </w:r>
            <w:r>
              <w:rPr>
                <w:rFonts w:hint="default" w:ascii="Times New Roman" w:hAnsi="楷体" w:eastAsia="仿宋_GB2312" w:cs="Times New Roman"/>
                <w:color w:val="auto"/>
                <w:kern w:val="2"/>
                <w:sz w:val="24"/>
                <w:szCs w:val="22"/>
              </w:rPr>
              <w:t>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50</w:t>
            </w:r>
            <w:r>
              <w:rPr>
                <w:rFonts w:hint="default" w:ascii="Times New Roman" w:hAnsi="楷体" w:eastAsia="仿宋_GB2312" w:cs="Times New Roman"/>
                <w:color w:val="auto"/>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rPr>
            </w:pPr>
            <w:r>
              <w:rPr>
                <w:rFonts w:eastAsia="仿宋_GB2312"/>
                <w:color w:val="auto"/>
                <w:sz w:val="24"/>
                <w:szCs w:val="22"/>
              </w:rPr>
              <w:t>2</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0" w:firstLineChars="0"/>
              <w:jc w:val="center"/>
              <w:textAlignment w:val="auto"/>
              <w:rPr>
                <w:rFonts w:hint="default" w:hAnsi="楷体" w:eastAsia="仿宋_GB2312"/>
                <w:color w:val="auto"/>
                <w:sz w:val="24"/>
                <w:szCs w:val="22"/>
                <w:lang w:val="en-US" w:eastAsia="zh-CN"/>
              </w:rPr>
            </w:pPr>
            <w:r>
              <w:rPr>
                <w:rFonts w:hint="eastAsia" w:hAnsi="楷体" w:eastAsia="仿宋_GB2312"/>
                <w:color w:val="auto"/>
                <w:sz w:val="24"/>
                <w:szCs w:val="22"/>
                <w:lang w:val="en-US" w:eastAsia="zh-CN"/>
              </w:rPr>
              <w:t>验收款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auto"/>
                <w:kern w:val="2"/>
                <w:sz w:val="24"/>
                <w:szCs w:val="22"/>
                <w:lang w:val="en-US"/>
              </w:rPr>
            </w:pPr>
            <w:r>
              <w:rPr>
                <w:rFonts w:hint="default" w:ascii="Times New Roman" w:hAnsi="楷体" w:eastAsia="仿宋_GB2312" w:cs="Times New Roman"/>
                <w:color w:val="auto"/>
                <w:kern w:val="2"/>
                <w:sz w:val="24"/>
                <w:szCs w:val="22"/>
                <w:lang w:val="en-US" w:eastAsia="zh-CN"/>
              </w:rPr>
              <w:t>系统通过</w:t>
            </w:r>
            <w:r>
              <w:rPr>
                <w:rFonts w:hint="eastAsia" w:hAnsi="楷体" w:eastAsia="仿宋_GB2312" w:cs="Times New Roman"/>
                <w:color w:val="auto"/>
                <w:kern w:val="2"/>
                <w:sz w:val="24"/>
                <w:szCs w:val="22"/>
                <w:lang w:val="en-US" w:eastAsia="zh-CN"/>
              </w:rPr>
              <w:t>采购人</w:t>
            </w:r>
            <w:r>
              <w:rPr>
                <w:rFonts w:hint="default" w:ascii="Times New Roman" w:hAnsi="楷体" w:eastAsia="仿宋_GB2312" w:cs="Times New Roman"/>
                <w:color w:val="auto"/>
                <w:kern w:val="2"/>
                <w:sz w:val="24"/>
                <w:szCs w:val="22"/>
                <w:lang w:val="en-US" w:eastAsia="zh-CN"/>
              </w:rPr>
              <w:t>验收后，采购人自收到乙方出具的付款申请及相应金额经采购人认可的合法有效发票之日起20个工作日内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auto"/>
                <w:sz w:val="24"/>
                <w:szCs w:val="22"/>
                <w:lang w:val="en-US" w:eastAsia="zh-CN"/>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7</w:t>
            </w:r>
            <w:r>
              <w:rPr>
                <w:rFonts w:hint="default" w:ascii="Times New Roman" w:hAnsi="楷体" w:eastAsia="仿宋_GB2312" w:cs="Times New Roman"/>
                <w:color w:val="auto"/>
                <w:sz w:val="24"/>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070"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auto"/>
                <w:sz w:val="24"/>
                <w:szCs w:val="22"/>
                <w:lang w:val="en-US" w:eastAsia="zh-CN"/>
              </w:rPr>
            </w:pPr>
            <w:r>
              <w:rPr>
                <w:rFonts w:hint="eastAsia" w:eastAsia="仿宋_GB2312"/>
                <w:color w:val="auto"/>
                <w:sz w:val="24"/>
                <w:szCs w:val="22"/>
                <w:lang w:val="en-US" w:eastAsia="zh-CN"/>
              </w:rPr>
              <w:t>3</w:t>
            </w:r>
          </w:p>
        </w:tc>
        <w:tc>
          <w:tcPr>
            <w:tcW w:w="1281" w:type="dxa"/>
            <w:noWrap w:val="0"/>
            <w:vAlign w:val="center"/>
          </w:tcPr>
          <w:p>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lang w:eastAsia="zh-CN"/>
              </w:rPr>
            </w:pPr>
            <w:r>
              <w:rPr>
                <w:rFonts w:hint="default" w:hAnsi="楷体" w:eastAsia="仿宋_GB2312"/>
                <w:color w:val="auto"/>
                <w:sz w:val="24"/>
                <w:szCs w:val="22"/>
                <w:lang w:val="en-US" w:eastAsia="zh-CN"/>
              </w:rPr>
              <w:t>尾</w:t>
            </w:r>
            <w:r>
              <w:rPr>
                <w:rFonts w:hint="eastAsia" w:hAnsi="楷体" w:eastAsia="仿宋_GB2312"/>
                <w:color w:val="auto"/>
                <w:sz w:val="24"/>
                <w:szCs w:val="22"/>
                <w:lang w:val="en-US" w:eastAsia="zh-CN"/>
              </w:rPr>
              <w:t xml:space="preserve">  </w:t>
            </w:r>
            <w:r>
              <w:rPr>
                <w:rFonts w:hint="default" w:hAnsi="楷体" w:eastAsia="仿宋_GB2312"/>
                <w:color w:val="auto"/>
                <w:sz w:val="24"/>
                <w:szCs w:val="22"/>
                <w:lang w:val="en-US" w:eastAsia="zh-CN"/>
              </w:rPr>
              <w:t>款</w:t>
            </w:r>
          </w:p>
        </w:tc>
        <w:tc>
          <w:tcPr>
            <w:tcW w:w="429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auto"/>
                <w:sz w:val="24"/>
                <w:szCs w:val="22"/>
                <w:lang w:eastAsia="zh-CN"/>
              </w:rPr>
            </w:pPr>
            <w:r>
              <w:rPr>
                <w:rFonts w:hint="eastAsia" w:hAnsi="楷体" w:eastAsia="仿宋_GB2312"/>
                <w:color w:val="auto"/>
                <w:sz w:val="24"/>
                <w:szCs w:val="22"/>
                <w:lang w:val="en-US" w:eastAsia="zh-CN"/>
              </w:rPr>
              <w:t>维护期结束，乙方提交保修期总结报告并得到采购人书面确认后，采购人在收到乙方出具的付款申请及相应金额经采购人认可的合法有效发票之日起20</w:t>
            </w:r>
            <w:r>
              <w:rPr>
                <w:rFonts w:hint="default" w:hAnsi="楷体" w:eastAsia="仿宋_GB2312"/>
                <w:color w:val="auto"/>
                <w:sz w:val="24"/>
                <w:szCs w:val="22"/>
                <w:lang w:eastAsia="zh-CN"/>
              </w:rPr>
              <w:t>个工作日内</w:t>
            </w:r>
          </w:p>
        </w:tc>
        <w:tc>
          <w:tcPr>
            <w:tcW w:w="21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10</w:t>
            </w:r>
            <w:r>
              <w:rPr>
                <w:rFonts w:hint="default" w:ascii="Times New Roman" w:hAnsi="楷体" w:eastAsia="仿宋_GB2312" w:cs="Times New Roman"/>
                <w:color w:val="auto"/>
                <w:sz w:val="24"/>
                <w:szCs w:val="22"/>
                <w:lang w:val="en-US" w:eastAsia="zh-CN"/>
              </w:rPr>
              <w:t>0%</w:t>
            </w:r>
          </w:p>
        </w:tc>
      </w:tr>
    </w:tbl>
    <w:p>
      <w:pPr>
        <w:numPr>
          <w:ilvl w:val="0"/>
          <w:numId w:val="0"/>
        </w:numPr>
        <w:rPr>
          <w:rFonts w:hint="eastAsia"/>
          <w:lang w:val="en-US" w:eastAsia="zh-CN"/>
        </w:rPr>
      </w:pP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履约验收方案</w:t>
      </w:r>
    </w:p>
    <w:p>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履约验收的主体、时间、程序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1.验收主体</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采购人组织验收。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2.验收时间及程序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所有改造系统投产上线完成并稳定运行满3个月，各项功能满足验收标准，进出口银行分批组织验收。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pPr>
        <w:keepNext w:val="0"/>
        <w:keepLines w:val="0"/>
        <w:pageBreakBefore w:val="0"/>
        <w:numPr>
          <w:ilvl w:val="0"/>
          <w:numId w:val="3"/>
        </w:numPr>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履约验收内容和标准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1、验收内容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（1）交付件，包括文档资料、源代码等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（2）适配改造的物理子系统应用软件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（3）以量化的SLA考核指标为依据，对供应商服务及项目完成情况进行量化评价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2、验收标准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（1）文档验收标准</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文档内容应包含对应工作阶段的所有工作任务的最终成果</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文档内容无重大分歧，进出口银行能够接受文档中的主要观点、认可文档中所体现的工作成果</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所有正式交付件表达清晰、内容完整，符合采购人要求。交付文档的描述不存在实质性的错误（包括不真实、遗漏、误差、以及对使用者可能产生误导的信息）；文字无重大或误导性错误</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文档交付齐备</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除特别指明的并经采购人同意的英文提交文档之外，要求提供中文文档</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提交项目全部交付件并通过采购人审核，在此基础上形成项目的《交付件交付情况一览表》，经过采购人核对认可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（2）系统验收标准</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系统符合项目工作说明书的要求</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新增系统的安全等级保护基本要求满足国家标准和监管要求中对本系统的相应要求</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系统通过用户接收测试，若有遗留问题须在本项目最终验收启动前解决</w:t>
      </w:r>
    </w:p>
    <w:p>
      <w:pPr>
        <w:pStyle w:val="10"/>
        <w:keepNext w:val="0"/>
        <w:keepLines w:val="0"/>
        <w:pageBreakBefore w:val="0"/>
        <w:numPr>
          <w:ilvl w:val="0"/>
          <w:numId w:val="0"/>
        </w:numPr>
        <w:kinsoku/>
        <w:wordWrap/>
        <w:overflowPunct/>
        <w:topLinePunct w:val="0"/>
        <w:autoSpaceDE/>
        <w:autoSpaceDN/>
        <w:bidi w:val="0"/>
        <w:snapToGrid/>
        <w:spacing w:beforeAutospacing="0" w:after="0" w:afterAutospacing="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val="en-US" w:eastAsia="zh-CN"/>
        </w:rPr>
        <w:t>SLA指标考核</w:t>
      </w:r>
    </w:p>
    <w:p>
      <w:pPr>
        <w:pStyle w:val="14"/>
        <w:keepNext w:val="0"/>
        <w:keepLines w:val="0"/>
        <w:pageBreakBefore w:val="0"/>
        <w:widowControl/>
        <w:numPr>
          <w:ilvl w:val="0"/>
          <w:numId w:val="0"/>
        </w:numPr>
        <w:kinsoku/>
        <w:wordWrap/>
        <w:overflowPunct/>
        <w:topLinePunct w:val="0"/>
        <w:autoSpaceDE/>
        <w:autoSpaceDN/>
        <w:bidi w:val="0"/>
        <w:snapToGrid/>
        <w:spacing w:beforeAutospacing="0" w:afterLines="0" w:afterAutospacing="0" w:line="360" w:lineRule="auto"/>
        <w:ind w:left="0"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本项目发起验收时，进行SLA考核。指标项如下：</w:t>
      </w:r>
    </w:p>
    <w:tbl>
      <w:tblPr>
        <w:tblStyle w:val="12"/>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986"/>
        <w:gridCol w:w="2214"/>
        <w:gridCol w:w="4868"/>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序号</w:t>
            </w:r>
          </w:p>
        </w:tc>
        <w:tc>
          <w:tcPr>
            <w:tcW w:w="520"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指标名称</w:t>
            </w:r>
          </w:p>
        </w:tc>
        <w:tc>
          <w:tcPr>
            <w:tcW w:w="1168"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量化标准</w:t>
            </w:r>
          </w:p>
        </w:tc>
        <w:tc>
          <w:tcPr>
            <w:tcW w:w="2567" w:type="pct"/>
            <w:noWrap w:val="0"/>
            <w:vAlign w:val="center"/>
          </w:tcPr>
          <w:p>
            <w:pPr>
              <w:widowControl/>
              <w:spacing w:line="240" w:lineRule="auto"/>
              <w:jc w:val="center"/>
              <w:rPr>
                <w:rFonts w:hint="eastAsia" w:ascii="黑体" w:hAnsi="黑体" w:eastAsia="黑体" w:cs="黑体"/>
                <w:b w:val="0"/>
                <w:bCs w:val="0"/>
                <w:kern w:val="0"/>
                <w:sz w:val="24"/>
                <w:highlight w:val="none"/>
                <w:lang w:val="en-GB"/>
              </w:rPr>
            </w:pPr>
            <w:r>
              <w:rPr>
                <w:rFonts w:hint="eastAsia" w:ascii="黑体" w:hAnsi="黑体" w:eastAsia="黑体" w:cs="黑体"/>
                <w:b w:val="0"/>
                <w:bCs w:val="0"/>
                <w:kern w:val="0"/>
                <w:sz w:val="24"/>
                <w:highlight w:val="none"/>
                <w:lang w:val="en-GB"/>
              </w:rPr>
              <w:t>评估方式</w:t>
            </w:r>
          </w:p>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（优100-良80-中60-差0）</w:t>
            </w:r>
          </w:p>
        </w:tc>
        <w:tc>
          <w:tcPr>
            <w:tcW w:w="520" w:type="pct"/>
            <w:noWrap w:val="0"/>
            <w:vAlign w:val="center"/>
          </w:tcPr>
          <w:p>
            <w:pPr>
              <w:widowControl/>
              <w:spacing w:line="240" w:lineRule="auto"/>
              <w:jc w:val="center"/>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1</w:t>
            </w:r>
          </w:p>
        </w:tc>
        <w:tc>
          <w:tcPr>
            <w:tcW w:w="520"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本项目进度及计划执行率</w:t>
            </w:r>
          </w:p>
        </w:tc>
        <w:tc>
          <w:tcPr>
            <w:tcW w:w="1168"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各阶段累计工作延后完成天数/各阶段累计计划天数</w:t>
            </w:r>
          </w:p>
        </w:tc>
        <w:tc>
          <w:tcPr>
            <w:tcW w:w="2567" w:type="pct"/>
            <w:noWrap w:val="0"/>
            <w:vAlign w:val="center"/>
          </w:tcPr>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 计划延误率</w:t>
            </w:r>
            <w:r>
              <w:rPr>
                <w:rFonts w:hint="eastAsia" w:ascii="仿宋_GB2312" w:hAnsi="仿宋_GB2312" w:eastAsia="仿宋_GB2312" w:cs="仿宋_GB2312"/>
                <w:kern w:val="0"/>
                <w:sz w:val="24"/>
                <w:szCs w:val="24"/>
                <w:highlight w:val="none"/>
                <w:lang w:val="en-US" w:eastAsia="zh-CN"/>
              </w:rPr>
              <w:t>为0</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优</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良</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中</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3</w:t>
            </w:r>
            <w:r>
              <w:rPr>
                <w:rFonts w:hint="eastAsia" w:ascii="仿宋_GB2312" w:hAnsi="仿宋_GB2312" w:eastAsia="仿宋_GB2312" w:cs="仿宋_GB2312"/>
                <w:kern w:val="0"/>
                <w:sz w:val="24"/>
                <w:szCs w:val="24"/>
                <w:highlight w:val="none"/>
                <w:lang w:val="en-GB"/>
              </w:rPr>
              <w:t xml:space="preserve">%＜计划延误率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差</w:t>
            </w:r>
          </w:p>
        </w:tc>
        <w:tc>
          <w:tcPr>
            <w:tcW w:w="520"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lang w:val="de-D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2</w:t>
            </w:r>
          </w:p>
        </w:tc>
        <w:tc>
          <w:tcPr>
            <w:tcW w:w="520"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项目投产后问题数量</w:t>
            </w:r>
          </w:p>
        </w:tc>
        <w:tc>
          <w:tcPr>
            <w:tcW w:w="1168"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投产后至验收时累计问题数</w:t>
            </w:r>
          </w:p>
        </w:tc>
        <w:tc>
          <w:tcPr>
            <w:tcW w:w="2567" w:type="pct"/>
            <w:noWrap w:val="0"/>
            <w:vAlign w:val="center"/>
          </w:tcPr>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月发现问题数&lt;5   优</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2.每100功能点每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月发现问题数&lt;=10 良</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月发现问题数&lt;=15 中</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月发现问题数&gt;15  差</w:t>
            </w:r>
          </w:p>
        </w:tc>
        <w:tc>
          <w:tcPr>
            <w:tcW w:w="520"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de-D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pPr>
              <w:pStyle w:val="15"/>
              <w:widowControl/>
              <w:spacing w:line="240" w:lineRule="auto"/>
              <w:ind w:firstLine="0" w:firstLineChars="0"/>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w:t>
            </w:r>
          </w:p>
        </w:tc>
        <w:tc>
          <w:tcPr>
            <w:tcW w:w="520"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工单未及时处理率</w:t>
            </w:r>
          </w:p>
        </w:tc>
        <w:tc>
          <w:tcPr>
            <w:tcW w:w="1168"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工单处理时长超一个月工单数量/总工单数量</w:t>
            </w:r>
          </w:p>
        </w:tc>
        <w:tc>
          <w:tcPr>
            <w:tcW w:w="2567" w:type="pct"/>
            <w:noWrap w:val="0"/>
            <w:vAlign w:val="center"/>
          </w:tcPr>
          <w:p>
            <w:pPr>
              <w:pStyle w:val="15"/>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 工单未及时处理率</w:t>
            </w:r>
            <w:r>
              <w:rPr>
                <w:rFonts w:hint="eastAsia" w:ascii="仿宋_GB2312" w:hAnsi="仿宋_GB2312" w:eastAsia="仿宋_GB2312" w:cs="仿宋_GB2312"/>
                <w:kern w:val="0"/>
                <w:sz w:val="24"/>
                <w:szCs w:val="24"/>
                <w:highlight w:val="none"/>
                <w:lang w:val="en-GB"/>
              </w:rPr>
              <w:t>≤0%</w:t>
            </w:r>
            <w:r>
              <w:rPr>
                <w:rFonts w:hint="eastAsia" w:ascii="仿宋_GB2312" w:hAnsi="仿宋_GB2312" w:eastAsia="仿宋_GB2312" w:cs="仿宋_GB2312"/>
                <w:kern w:val="0"/>
                <w:sz w:val="24"/>
                <w:szCs w:val="24"/>
                <w:highlight w:val="none"/>
                <w:lang w:val="en-US" w:eastAsia="zh-CN"/>
              </w:rPr>
              <w:t xml:space="preserve">     优</w:t>
            </w:r>
          </w:p>
          <w:p>
            <w:pPr>
              <w:pStyle w:val="15"/>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 0%&lt;工单未及时处理率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良</w:t>
            </w:r>
          </w:p>
          <w:p>
            <w:pPr>
              <w:pStyle w:val="15"/>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 5%&lt;工单未及时处理率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15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中</w:t>
            </w:r>
          </w:p>
          <w:p>
            <w:pPr>
              <w:pStyle w:val="15"/>
              <w:widowControl/>
              <w:numPr>
                <w:ilvl w:val="0"/>
                <w:numId w:val="0"/>
              </w:numPr>
              <w:spacing w:line="240" w:lineRule="auto"/>
              <w:ind w:firstLine="0" w:firstLineChars="0"/>
              <w:jc w:val="left"/>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 15%&lt;工单未及时处理率     差</w:t>
            </w:r>
          </w:p>
        </w:tc>
        <w:tc>
          <w:tcPr>
            <w:tcW w:w="520"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520"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异常考勤率</w:t>
            </w:r>
          </w:p>
        </w:tc>
        <w:tc>
          <w:tcPr>
            <w:tcW w:w="1168"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驻场期间异常考勤天数/应出勤天数</w:t>
            </w:r>
          </w:p>
        </w:tc>
        <w:tc>
          <w:tcPr>
            <w:tcW w:w="2567" w:type="pct"/>
            <w:noWrap w:val="0"/>
            <w:vAlign w:val="center"/>
          </w:tcPr>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1. </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        优</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10</w:t>
            </w:r>
            <w:r>
              <w:rPr>
                <w:rFonts w:hint="eastAsia" w:ascii="仿宋_GB2312" w:hAnsi="仿宋_GB2312" w:eastAsia="仿宋_GB2312" w:cs="仿宋_GB2312"/>
                <w:kern w:val="0"/>
                <w:sz w:val="24"/>
                <w:szCs w:val="24"/>
                <w:highlight w:val="none"/>
                <w:lang w:val="en-GB"/>
              </w:rPr>
              <w:t>%   良</w:t>
            </w:r>
          </w:p>
          <w:p>
            <w:pPr>
              <w:pStyle w:val="15"/>
              <w:widowControl/>
              <w:spacing w:line="240" w:lineRule="auto"/>
              <w:ind w:firstLine="0" w:firstLineChars="0"/>
              <w:jc w:val="left"/>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10</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率≤15%  中</w:t>
            </w:r>
          </w:p>
          <w:p>
            <w:pPr>
              <w:pStyle w:val="15"/>
              <w:widowControl/>
              <w:numPr>
                <w:ilvl w:val="0"/>
                <w:numId w:val="0"/>
              </w:numPr>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15%＜</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       差</w:t>
            </w:r>
          </w:p>
        </w:tc>
        <w:tc>
          <w:tcPr>
            <w:tcW w:w="520" w:type="pct"/>
            <w:noWrap w:val="0"/>
            <w:vAlign w:val="center"/>
          </w:tcPr>
          <w:p>
            <w:pPr>
              <w:pStyle w:val="15"/>
              <w:widowControl/>
              <w:spacing w:line="240" w:lineRule="auto"/>
              <w:ind w:firstLine="0" w:firstLineChars="0"/>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noWrap w:val="0"/>
            <w:vAlign w:val="center"/>
          </w:tcPr>
          <w:p>
            <w:pPr>
              <w:pStyle w:val="15"/>
              <w:widowControl/>
              <w:tabs>
                <w:tab w:val="left" w:pos="2252"/>
              </w:tabs>
              <w:spacing w:line="240" w:lineRule="auto"/>
              <w:ind w:firstLine="0" w:firstLineChars="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说明：本项目涉及功能点情况和数量随报价文件一并提供，应与工作量评估底稿一致；考勤率结合采购人外包考勤情况进行计算。</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根据SLA最后得分情况，划分为四个等级：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SLA&gt;=95的为优；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SLA在80-95的为良；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SLA在60-80的为中；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SLA&lt;60的为差。</w:t>
      </w:r>
    </w:p>
    <w:p>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lang w:val="en-US" w:eastAsia="zh-CN"/>
        </w:rPr>
      </w:pPr>
      <w:bookmarkStart w:id="7" w:name="_Toc7716"/>
      <w:r>
        <w:rPr>
          <w:rFonts w:hint="eastAsia" w:ascii="仿宋" w:hAnsi="仿宋" w:eastAsia="仿宋" w:cs="仿宋"/>
          <w:b/>
          <w:bCs/>
          <w:color w:val="auto"/>
          <w:sz w:val="24"/>
          <w:szCs w:val="24"/>
          <w:highlight w:val="none"/>
          <w:lang w:val="en-US" w:eastAsia="zh-CN"/>
        </w:rPr>
        <w:t>（三）违约责任</w:t>
      </w:r>
      <w:bookmarkEnd w:id="7"/>
    </w:p>
    <w:p>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1.乙方在合同签署后，需要按上线计划完成投产上线。如因乙方原因导致未能按期投产上线，将按照每逾期一日，扣除“合同价款”的千分之五（5‰）。</w:t>
      </w:r>
    </w:p>
    <w:p>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2.SLA考核的罚则</w:t>
      </w:r>
    </w:p>
    <w:p>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（1）SLA考核为良：约谈公司高管，提出服务质量保障具体措施并限期落实；</w:t>
      </w:r>
    </w:p>
    <w:p>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（2）SLA考核为中：约谈公司高管，提出服务质量保障具体措施并限期落实，从本次付款起每期付款顺次延迟半年支付，如有多次延迟的，延迟期限叠加。</w:t>
      </w:r>
    </w:p>
    <w:p>
      <w:pPr>
        <w:pStyle w:val="3"/>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pPr>
        <w:pStyle w:val="8"/>
        <w:numPr>
          <w:ilvl w:val="1"/>
          <w:numId w:val="0"/>
        </w:numPr>
        <w:tabs>
          <w:tab w:val="left" w:pos="192"/>
        </w:tabs>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十一、投标资质要求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kern w:val="2"/>
          <w:sz w:val="24"/>
          <w:szCs w:val="24"/>
          <w:lang w:val="en-US" w:eastAsia="zh-CN" w:bidi="ar-SA"/>
        </w:rPr>
        <w:t>无。</w:t>
      </w:r>
      <w:bookmarkStart w:id="8" w:name="_Toc212522540"/>
      <w:bookmarkEnd w:id="8"/>
      <w:bookmarkStart w:id="9" w:name="_Toc212523049"/>
      <w:bookmarkEnd w:id="9"/>
      <w:bookmarkStart w:id="10" w:name="_Toc212523044"/>
      <w:bookmarkEnd w:id="10"/>
      <w:bookmarkStart w:id="11" w:name="_Toc212522931"/>
      <w:bookmarkEnd w:id="11"/>
      <w:bookmarkStart w:id="12" w:name="_Toc212522519"/>
      <w:bookmarkEnd w:id="12"/>
      <w:bookmarkStart w:id="13" w:name="_Toc212522919"/>
      <w:bookmarkEnd w:id="13"/>
      <w:bookmarkStart w:id="14" w:name="_Toc212522543"/>
      <w:bookmarkEnd w:id="14"/>
      <w:bookmarkStart w:id="15" w:name="_Toc212522913"/>
      <w:bookmarkEnd w:id="15"/>
      <w:bookmarkStart w:id="16" w:name="_Toc212523064"/>
      <w:bookmarkEnd w:id="16"/>
      <w:bookmarkStart w:id="17" w:name="_Toc212522922"/>
      <w:bookmarkEnd w:id="17"/>
      <w:bookmarkStart w:id="18" w:name="_Toc212523046"/>
      <w:bookmarkEnd w:id="18"/>
      <w:bookmarkStart w:id="19" w:name="_Toc212523076"/>
      <w:bookmarkEnd w:id="19"/>
      <w:bookmarkStart w:id="20" w:name="_Toc212523073"/>
      <w:bookmarkEnd w:id="20"/>
      <w:bookmarkStart w:id="21" w:name="_Toc212522904"/>
      <w:bookmarkEnd w:id="21"/>
      <w:bookmarkStart w:id="22" w:name="_Toc212523055"/>
      <w:bookmarkEnd w:id="22"/>
      <w:bookmarkStart w:id="23" w:name="_Toc454288809"/>
      <w:bookmarkEnd w:id="23"/>
      <w:bookmarkStart w:id="24" w:name="_Toc212522522"/>
      <w:bookmarkEnd w:id="24"/>
      <w:bookmarkStart w:id="25" w:name="_Toc212522925"/>
      <w:bookmarkEnd w:id="25"/>
      <w:bookmarkStart w:id="26" w:name="_Toc212523052"/>
      <w:bookmarkEnd w:id="26"/>
      <w:bookmarkStart w:id="27" w:name="_Toc212523070"/>
      <w:bookmarkEnd w:id="27"/>
      <w:bookmarkStart w:id="28" w:name="_Toc212523058"/>
      <w:bookmarkEnd w:id="28"/>
      <w:bookmarkStart w:id="29" w:name="_Toc212522528"/>
      <w:bookmarkEnd w:id="29"/>
      <w:bookmarkStart w:id="30" w:name="_Toc184538753"/>
      <w:bookmarkEnd w:id="30"/>
      <w:bookmarkStart w:id="31" w:name="_Toc212522531"/>
      <w:bookmarkEnd w:id="31"/>
      <w:bookmarkStart w:id="32" w:name="_Toc209347468"/>
      <w:bookmarkEnd w:id="32"/>
      <w:bookmarkStart w:id="33" w:name="_Toc209340886"/>
      <w:bookmarkEnd w:id="33"/>
      <w:bookmarkStart w:id="34" w:name="_Toc212522534"/>
      <w:bookmarkEnd w:id="34"/>
      <w:bookmarkStart w:id="35" w:name="_Toc209347459"/>
      <w:bookmarkEnd w:id="35"/>
      <w:bookmarkStart w:id="36" w:name="_Toc209340882"/>
      <w:bookmarkEnd w:id="36"/>
      <w:bookmarkStart w:id="37" w:name="_Toc212522516"/>
      <w:bookmarkEnd w:id="37"/>
      <w:bookmarkStart w:id="38" w:name="_Toc212522537"/>
      <w:bookmarkEnd w:id="38"/>
      <w:bookmarkStart w:id="39" w:name="_Toc212522916"/>
      <w:bookmarkEnd w:id="39"/>
      <w:bookmarkStart w:id="40" w:name="_Toc212522513"/>
      <w:bookmarkEnd w:id="40"/>
      <w:bookmarkStart w:id="41" w:name="_Toc209347471"/>
      <w:bookmarkEnd w:id="41"/>
      <w:bookmarkStart w:id="42" w:name="_Toc212522907"/>
      <w:bookmarkEnd w:id="42"/>
      <w:bookmarkStart w:id="43" w:name="_Toc209347463"/>
      <w:bookmarkEnd w:id="43"/>
      <w:bookmarkStart w:id="44" w:name="_Toc212522525"/>
      <w:bookmarkEnd w:id="44"/>
      <w:bookmarkStart w:id="45" w:name="_Toc209347469"/>
      <w:bookmarkEnd w:id="45"/>
      <w:bookmarkStart w:id="46" w:name="_Toc212522928"/>
      <w:bookmarkEnd w:id="46"/>
      <w:bookmarkStart w:id="47" w:name="_Toc212522901"/>
      <w:bookmarkEnd w:id="47"/>
      <w:bookmarkStart w:id="48" w:name="_Toc212523067"/>
      <w:bookmarkEnd w:id="48"/>
      <w:bookmarkStart w:id="49" w:name="_Toc212522910"/>
      <w:bookmarkEnd w:id="49"/>
      <w:bookmarkStart w:id="50" w:name="_Toc212523061"/>
      <w:bookmarkEnd w:id="50"/>
      <w:bookmarkStart w:id="51" w:name="_Toc209347470"/>
      <w:bookmarkEnd w:id="51"/>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F91E1A1F"/>
    <w:multiLevelType w:val="singleLevel"/>
    <w:tmpl w:val="F91E1A1F"/>
    <w:lvl w:ilvl="0" w:tentative="0">
      <w:start w:val="9"/>
      <w:numFmt w:val="chineseCounting"/>
      <w:suff w:val="nothing"/>
      <w:lvlText w:val="%1、"/>
      <w:lvlJc w:val="left"/>
      <w:rPr>
        <w:rFonts w:hint="eastAsia"/>
      </w:rPr>
    </w:lvl>
  </w:abstractNum>
  <w:abstractNum w:abstractNumId="3">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F2AD7"/>
    <w:rsid w:val="5F66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widowControl/>
      <w:overflowPunct w:val="0"/>
      <w:autoSpaceDE w:val="0"/>
      <w:autoSpaceDN w:val="0"/>
      <w:adjustRightInd w:val="0"/>
      <w:spacing w:line="300" w:lineRule="auto"/>
      <w:ind w:left="2268" w:firstLine="420"/>
      <w:jc w:val="left"/>
      <w:textAlignment w:val="baseline"/>
    </w:pPr>
    <w:rPr>
      <w:rFonts w:ascii="Arial Unicode MS" w:hAnsi="Arial Unicode MS"/>
      <w:kern w:val="0"/>
      <w:sz w:val="24"/>
      <w:szCs w:val="20"/>
    </w:rPr>
  </w:style>
  <w:style w:type="paragraph" w:styleId="3">
    <w:name w:val="caption"/>
    <w:basedOn w:val="1"/>
    <w:next w:val="1"/>
    <w:qFormat/>
    <w:uiPriority w:val="0"/>
    <w:pPr>
      <w:spacing w:beforeLines="20" w:afterLines="20"/>
    </w:pPr>
    <w:rPr>
      <w:rFonts w:ascii="Arial" w:hAnsi="Arial" w:eastAsia="黑体"/>
      <w:sz w:val="20"/>
      <w:szCs w:val="20"/>
    </w:rPr>
  </w:style>
  <w:style w:type="paragraph" w:styleId="5">
    <w:name w:val="annotation text"/>
    <w:basedOn w:val="1"/>
    <w:unhideWhenUsed/>
    <w:qFormat/>
    <w:uiPriority w:val="0"/>
    <w:pPr>
      <w:jc w:val="left"/>
    </w:pPr>
  </w:style>
  <w:style w:type="paragraph" w:styleId="6">
    <w:name w:val="Body Text"/>
    <w:basedOn w:val="1"/>
    <w:next w:val="7"/>
    <w:unhideWhenUsed/>
    <w:qFormat/>
    <w:uiPriority w:val="99"/>
    <w:pPr>
      <w:widowControl/>
      <w:jc w:val="left"/>
    </w:pPr>
    <w:rPr>
      <w:rFonts w:asciiTheme="minorHAnsi" w:hAnsiTheme="minorHAnsi" w:eastAsiaTheme="minorEastAsia" w:cstheme="minorBidi"/>
      <w:szCs w:val="22"/>
    </w:rPr>
  </w:style>
  <w:style w:type="paragraph" w:styleId="7">
    <w:name w:val="Plain Text"/>
    <w:basedOn w:val="1"/>
    <w:qFormat/>
    <w:uiPriority w:val="99"/>
    <w:rPr>
      <w:rFonts w:ascii="宋体" w:hAnsi="Courier New"/>
      <w:szCs w:val="21"/>
    </w:rPr>
  </w:style>
  <w:style w:type="paragraph" w:styleId="8">
    <w:name w:val="Title"/>
    <w:basedOn w:val="4"/>
    <w:next w:val="1"/>
    <w:qFormat/>
    <w:uiPriority w:val="0"/>
    <w:pPr>
      <w:spacing w:beforeLines="50" w:afterLines="50" w:line="240" w:lineRule="auto"/>
    </w:pPr>
    <w:rPr>
      <w:rFonts w:ascii="楷体" w:hAnsi="楷体" w:eastAsia="楷体" w:cs="Times New Roman"/>
      <w:sz w:val="28"/>
      <w:szCs w:val="28"/>
    </w:rPr>
  </w:style>
  <w:style w:type="paragraph" w:styleId="9">
    <w:name w:val="Body Text First Indent"/>
    <w:basedOn w:val="6"/>
    <w:unhideWhenUsed/>
    <w:qFormat/>
    <w:uiPriority w:val="0"/>
    <w:pPr>
      <w:widowControl w:val="0"/>
      <w:spacing w:line="240" w:lineRule="auto"/>
      <w:ind w:left="0" w:firstLine="420" w:firstLineChars="100"/>
      <w:jc w:val="both"/>
    </w:pPr>
    <w:rPr>
      <w:rFonts w:ascii="Arial" w:hAnsi="Arial"/>
      <w:kern w:val="2"/>
      <w:sz w:val="21"/>
      <w:szCs w:val="24"/>
    </w:rPr>
  </w:style>
  <w:style w:type="paragraph" w:styleId="10">
    <w:name w:val="Body Text First Indent 2"/>
    <w:basedOn w:val="1"/>
    <w:next w:val="9"/>
    <w:semiHidden/>
    <w:unhideWhenUsed/>
    <w:qFormat/>
    <w:uiPriority w:val="99"/>
    <w:pPr>
      <w:spacing w:after="120"/>
      <w:ind w:left="420" w:leftChars="200" w:firstLine="420"/>
    </w:pPr>
    <w:rPr>
      <w:rFonts w:ascii="Times New Roman" w:hAnsi="Times New Roman" w:eastAsia="宋体" w:cs="Times New Roman"/>
      <w:sz w:val="21"/>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Body1"/>
    <w:basedOn w:val="1"/>
    <w:qFormat/>
    <w:uiPriority w:val="0"/>
    <w:pPr>
      <w:spacing w:afterLines="50" w:line="360" w:lineRule="auto"/>
    </w:pPr>
    <w:rPr>
      <w:rFonts w:cs="宋体"/>
      <w:sz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2026-05-22T08:10:00Z</dcterms:created>
  <dc:creator>dn</dc:creator>
  <cp:lastModifiedBy>zh-wangj07</cp:lastModifiedBy>
  <dcterms:modified xsi:type="dcterms:W3CDTF">2026-05-22T08:19:31Z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KSOTemplateDocerSaveRecord">
    <vt:lpwstr>eyJoZGlkIjoiNDZhZmI1ODg2OGIwYjhhYzBmNDkxYTAyYmNjNzVmY2YiLCJ1c2VySWQiOiI2OTYwMzk0MTgifQ==</vt:lpwstr>
  </property>
  <property fmtid="{D5CDD505-2E9C-101B-9397-08002B2CF9AE}" pid="4" name="ICV">
    <vt:lpwstr>BF2168A814F446FBABD9A1C4A0AC88B4_13</vt:lpwstr>
  </property>
</Properties>
</file>