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left"/>
        <w:rPr>
          <w:rFonts w:hint="eastAsia" w:ascii="仿宋" w:hAnsi="仿宋" w:eastAsia="仿宋" w:cs="仿宋"/>
          <w:kern w:val="0"/>
          <w:sz w:val="28"/>
          <w:szCs w:val="28"/>
        </w:rPr>
      </w:pPr>
      <w:bookmarkStart w:id="53" w:name="_GoBack"/>
      <w:bookmarkEnd w:id="53"/>
      <w:r>
        <w:rPr>
          <w:rFonts w:hint="eastAsia" w:ascii="仿宋" w:hAnsi="仿宋" w:eastAsia="仿宋" w:cs="仿宋"/>
          <w:kern w:val="0"/>
          <w:sz w:val="28"/>
          <w:szCs w:val="28"/>
        </w:rPr>
        <w:t>附件-报名资料模板</w:t>
      </w:r>
    </w:p>
    <w:p>
      <w:pPr>
        <w:rPr>
          <w:rFonts w:hint="eastAsia" w:ascii="仿宋" w:hAnsi="仿宋" w:eastAsia="仿宋" w:cs="仿宋"/>
          <w:b/>
          <w:sz w:val="32"/>
        </w:rPr>
      </w:pPr>
      <w:r>
        <w:rPr>
          <w:rFonts w:hint="eastAsia" w:ascii="仿宋" w:hAnsi="仿宋" w:eastAsia="仿宋" w:cs="仿宋"/>
          <w:b/>
          <w:sz w:val="32"/>
        </w:rPr>
        <w:t>法定代表人授权书（格式）</w:t>
      </w:r>
    </w:p>
    <w:p>
      <w:pPr>
        <w:spacing w:line="360" w:lineRule="auto"/>
        <w:ind w:firstLine="560" w:firstLineChars="200"/>
        <w:jc w:val="center"/>
        <w:rPr>
          <w:rFonts w:hint="eastAsia" w:ascii="仿宋" w:hAnsi="仿宋" w:eastAsia="仿宋" w:cs="仿宋"/>
          <w:bCs/>
          <w:spacing w:val="20"/>
          <w:sz w:val="24"/>
        </w:rPr>
      </w:pP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本授权书声明：注册于</w:t>
      </w:r>
      <w:r>
        <w:rPr>
          <w:rFonts w:hint="eastAsia" w:ascii="仿宋" w:hAnsi="仿宋" w:eastAsia="仿宋" w:cs="仿宋"/>
          <w:szCs w:val="21"/>
          <w:u w:val="single"/>
        </w:rPr>
        <w:t xml:space="preserve">（国家或地区的名称） </w:t>
      </w:r>
      <w:r>
        <w:rPr>
          <w:rFonts w:hint="eastAsia" w:ascii="仿宋" w:hAnsi="仿宋" w:eastAsia="仿宋" w:cs="仿宋"/>
          <w:szCs w:val="21"/>
        </w:rPr>
        <w:t>的</w:t>
      </w:r>
      <w:r>
        <w:rPr>
          <w:rFonts w:hint="eastAsia" w:ascii="仿宋" w:hAnsi="仿宋" w:eastAsia="仿宋" w:cs="仿宋"/>
          <w:szCs w:val="21"/>
          <w:u w:val="single"/>
        </w:rPr>
        <w:t>（公司名称）</w:t>
      </w:r>
      <w:r>
        <w:rPr>
          <w:rFonts w:hint="eastAsia" w:ascii="仿宋" w:hAnsi="仿宋" w:eastAsia="仿宋" w:cs="仿宋"/>
          <w:szCs w:val="21"/>
        </w:rPr>
        <w:t>的</w:t>
      </w:r>
      <w:r>
        <w:rPr>
          <w:rFonts w:hint="eastAsia" w:ascii="仿宋" w:hAnsi="仿宋" w:eastAsia="仿宋" w:cs="仿宋"/>
          <w:szCs w:val="21"/>
          <w:u w:val="single"/>
        </w:rPr>
        <w:t xml:space="preserve">（法定代表人姓名） </w:t>
      </w:r>
      <w:r>
        <w:rPr>
          <w:rFonts w:hint="eastAsia" w:ascii="仿宋" w:hAnsi="仿宋" w:eastAsia="仿宋" w:cs="仿宋"/>
          <w:szCs w:val="21"/>
        </w:rPr>
        <w:t xml:space="preserve">代表本公司授权 </w:t>
      </w:r>
      <w:r>
        <w:rPr>
          <w:rFonts w:hint="eastAsia" w:ascii="仿宋" w:hAnsi="仿宋" w:eastAsia="仿宋" w:cs="仿宋"/>
          <w:szCs w:val="21"/>
          <w:u w:val="single"/>
        </w:rPr>
        <w:t xml:space="preserve">   （单位名称）   </w:t>
      </w:r>
      <w:r>
        <w:rPr>
          <w:rFonts w:hint="eastAsia" w:ascii="仿宋" w:hAnsi="仿宋" w:eastAsia="仿宋" w:cs="仿宋"/>
          <w:szCs w:val="21"/>
        </w:rPr>
        <w:t>的</w:t>
      </w:r>
      <w:r>
        <w:rPr>
          <w:rFonts w:hint="eastAsia" w:ascii="仿宋" w:hAnsi="仿宋" w:eastAsia="仿宋" w:cs="仿宋"/>
          <w:szCs w:val="21"/>
          <w:u w:val="single"/>
        </w:rPr>
        <w:t>（授权代理人的姓名、职务） （身份证号码：               ）</w:t>
      </w:r>
      <w:r>
        <w:rPr>
          <w:rFonts w:hint="eastAsia" w:ascii="仿宋" w:hAnsi="仿宋" w:eastAsia="仿宋" w:cs="仿宋"/>
          <w:szCs w:val="21"/>
        </w:rPr>
        <w:t>为本公司的合法代理人，就</w:t>
      </w:r>
      <w:r>
        <w:rPr>
          <w:rFonts w:hint="eastAsia" w:ascii="仿宋" w:hAnsi="仿宋" w:eastAsia="仿宋" w:cs="仿宋"/>
          <w:szCs w:val="21"/>
          <w:u w:val="single"/>
        </w:rPr>
        <w:t xml:space="preserve"> （项目名称） </w:t>
      </w:r>
      <w:r>
        <w:rPr>
          <w:rFonts w:hint="eastAsia" w:ascii="仿宋" w:hAnsi="仿宋" w:eastAsia="仿宋" w:cs="仿宋"/>
          <w:szCs w:val="21"/>
        </w:rPr>
        <w:t>，以本公司名义处理与本项目报名相关的所有事务。</w:t>
      </w:r>
    </w:p>
    <w:p>
      <w:pPr>
        <w:spacing w:line="400" w:lineRule="exact"/>
        <w:rPr>
          <w:rFonts w:hint="eastAsia" w:ascii="仿宋" w:hAnsi="仿宋" w:eastAsia="仿宋" w:cs="仿宋"/>
          <w:szCs w:val="21"/>
        </w:rPr>
      </w:pPr>
    </w:p>
    <w:p>
      <w:pPr>
        <w:spacing w:line="400" w:lineRule="exact"/>
        <w:ind w:firstLine="425"/>
        <w:jc w:val="left"/>
        <w:rPr>
          <w:rFonts w:hint="eastAsia" w:ascii="仿宋" w:hAnsi="仿宋" w:eastAsia="仿宋" w:cs="仿宋"/>
          <w:szCs w:val="21"/>
        </w:rPr>
      </w:pPr>
      <w:r>
        <w:rPr>
          <w:rFonts w:hint="eastAsia" w:ascii="仿宋" w:hAnsi="仿宋" w:eastAsia="仿宋" w:cs="仿宋"/>
          <w:szCs w:val="21"/>
        </w:rPr>
        <w:t>本授权书于</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日签字生效， 特此声明。</w:t>
      </w:r>
    </w:p>
    <w:p>
      <w:pPr>
        <w:spacing w:line="400" w:lineRule="exact"/>
        <w:rPr>
          <w:rFonts w:hint="eastAsia" w:ascii="仿宋" w:hAnsi="仿宋" w:eastAsia="仿宋" w:cs="仿宋"/>
          <w:szCs w:val="21"/>
        </w:rPr>
      </w:pPr>
    </w:p>
    <w:p>
      <w:pPr>
        <w:spacing w:line="400" w:lineRule="exact"/>
        <w:rPr>
          <w:rFonts w:hint="eastAsia" w:ascii="仿宋" w:hAnsi="仿宋" w:eastAsia="仿宋" w:cs="仿宋"/>
          <w:szCs w:val="21"/>
          <w:u w:val="single"/>
        </w:rPr>
      </w:pPr>
      <w:r>
        <w:rPr>
          <w:rFonts w:hint="eastAsia" w:ascii="仿宋" w:hAnsi="仿宋" w:eastAsia="仿宋" w:cs="仿宋"/>
          <w:szCs w:val="21"/>
        </w:rPr>
        <w:t xml:space="preserve">法定代表人签字或盖章：     </w:t>
      </w:r>
      <w:r>
        <w:rPr>
          <w:rFonts w:hint="eastAsia" w:ascii="仿宋" w:hAnsi="仿宋" w:eastAsia="仿宋" w:cs="仿宋"/>
          <w:szCs w:val="21"/>
          <w:u w:val="single"/>
        </w:rPr>
        <w:t xml:space="preserve">                     </w:t>
      </w:r>
    </w:p>
    <w:p>
      <w:pPr>
        <w:spacing w:line="400" w:lineRule="exact"/>
        <w:rPr>
          <w:rFonts w:hint="eastAsia" w:ascii="仿宋" w:hAnsi="仿宋" w:eastAsia="仿宋" w:cs="仿宋"/>
          <w:szCs w:val="21"/>
          <w:u w:val="single"/>
        </w:rPr>
      </w:pPr>
      <w:r>
        <w:rPr>
          <w:rFonts w:hint="eastAsia" w:ascii="仿宋" w:hAnsi="仿宋" w:eastAsia="仿宋" w:cs="仿宋"/>
          <w:szCs w:val="21"/>
        </w:rPr>
        <w:t xml:space="preserve">授权代理人签字或盖章：     </w:t>
      </w:r>
      <w:r>
        <w:rPr>
          <w:rFonts w:hint="eastAsia" w:ascii="仿宋" w:hAnsi="仿宋" w:eastAsia="仿宋" w:cs="仿宋"/>
          <w:szCs w:val="21"/>
          <w:u w:val="single"/>
        </w:rPr>
        <w:t xml:space="preserve">                     </w:t>
      </w:r>
    </w:p>
    <w:p>
      <w:pPr>
        <w:spacing w:line="400" w:lineRule="exact"/>
        <w:rPr>
          <w:rFonts w:hint="eastAsia" w:ascii="仿宋" w:hAnsi="仿宋" w:eastAsia="仿宋" w:cs="仿宋"/>
          <w:szCs w:val="21"/>
          <w:u w:val="single"/>
        </w:rPr>
      </w:pPr>
      <w:r>
        <w:rPr>
          <w:rFonts w:hint="eastAsia" w:ascii="仿宋" w:hAnsi="仿宋" w:eastAsia="仿宋" w:cs="仿宋"/>
          <w:szCs w:val="21"/>
        </w:rPr>
        <w:t xml:space="preserve">公司名称：                 </w:t>
      </w:r>
      <w:r>
        <w:rPr>
          <w:rFonts w:hint="eastAsia" w:ascii="仿宋" w:hAnsi="仿宋" w:eastAsia="仿宋" w:cs="仿宋"/>
          <w:szCs w:val="21"/>
          <w:u w:val="single"/>
        </w:rPr>
        <w:t xml:space="preserve">                     </w:t>
      </w:r>
    </w:p>
    <w:p>
      <w:pPr>
        <w:spacing w:line="400" w:lineRule="exact"/>
        <w:rPr>
          <w:rFonts w:hint="eastAsia" w:ascii="仿宋" w:hAnsi="仿宋" w:eastAsia="仿宋" w:cs="仿宋"/>
          <w:szCs w:val="21"/>
          <w:u w:val="single"/>
        </w:rPr>
      </w:pPr>
      <w:r>
        <w:rPr>
          <w:rFonts w:hint="eastAsia" w:ascii="仿宋" w:hAnsi="仿宋" w:eastAsia="仿宋" w:cs="仿宋"/>
          <w:szCs w:val="21"/>
        </w:rPr>
        <w:t xml:space="preserve">地址：                     </w:t>
      </w:r>
      <w:r>
        <w:rPr>
          <w:rFonts w:hint="eastAsia" w:ascii="仿宋" w:hAnsi="仿宋" w:eastAsia="仿宋" w:cs="仿宋"/>
          <w:szCs w:val="21"/>
          <w:u w:val="single"/>
        </w:rPr>
        <w:t xml:space="preserve">                     </w:t>
      </w:r>
    </w:p>
    <w:p>
      <w:pPr>
        <w:spacing w:line="400" w:lineRule="exact"/>
        <w:rPr>
          <w:rFonts w:hint="eastAsia" w:ascii="仿宋" w:hAnsi="仿宋" w:eastAsia="仿宋" w:cs="仿宋"/>
          <w:szCs w:val="21"/>
          <w:u w:val="single"/>
        </w:rPr>
      </w:pPr>
      <w:r>
        <w:rPr>
          <w:rFonts w:hint="eastAsia" w:ascii="仿宋" w:hAnsi="仿宋" w:eastAsia="仿宋" w:cs="仿宋"/>
          <w:szCs w:val="21"/>
        </w:rPr>
        <w:t xml:space="preserve">加盖公章：                 </w:t>
      </w:r>
      <w:r>
        <w:rPr>
          <w:rFonts w:hint="eastAsia" w:ascii="仿宋" w:hAnsi="仿宋" w:eastAsia="仿宋" w:cs="仿宋"/>
          <w:szCs w:val="21"/>
          <w:u w:val="single"/>
        </w:rPr>
        <w:t xml:space="preserve">                     </w:t>
      </w:r>
    </w:p>
    <w:p>
      <w:pPr>
        <w:spacing w:line="420" w:lineRule="exact"/>
        <w:ind w:firstLine="560" w:firstLineChars="200"/>
        <w:rPr>
          <w:rFonts w:hint="eastAsia" w:ascii="仿宋" w:hAnsi="仿宋" w:eastAsia="仿宋" w:cs="仿宋"/>
          <w:bCs/>
          <w:spacing w:val="20"/>
          <w:sz w:val="24"/>
        </w:rPr>
      </w:pPr>
    </w:p>
    <w:p>
      <w:pPr>
        <w:tabs>
          <w:tab w:val="left" w:pos="426"/>
        </w:tabs>
        <w:snapToGrid w:val="0"/>
        <w:spacing w:line="360" w:lineRule="auto"/>
        <w:rPr>
          <w:rFonts w:hint="eastAsia"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231775</wp:posOffset>
                </wp:positionV>
                <wp:extent cx="2760980" cy="1685290"/>
                <wp:effectExtent l="8255" t="8255" r="19685" b="13335"/>
                <wp:wrapNone/>
                <wp:docPr id="1" name="矩形 2"/>
                <wp:cNvGraphicFramePr/>
                <a:graphic xmlns:a="http://schemas.openxmlformats.org/drawingml/2006/main">
                  <a:graphicData uri="http://schemas.microsoft.com/office/word/2010/wordprocessingShape">
                    <wps:wsp>
                      <wps:cNvSpPr/>
                      <wps:spPr>
                        <a:xfrm>
                          <a:off x="0" y="0"/>
                          <a:ext cx="2760980" cy="168529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2" o:spid="_x0000_s1026" o:spt="1" style="position:absolute;left:0pt;margin-left:-0.35pt;margin-top:18.25pt;height:132.7pt;width:217.4pt;z-index:251659264;mso-width-relative:page;mso-height-relative:page;" fillcolor="#FFFFFF" filled="t" stroked="t" coordsize="21600,21600" o:gfxdata="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LyThN2AAAAAgBAAAPAAAAAAAAAAEAIAAA&#10;ACIAAABkcnMvZG93bnJldi54bWxQSwECFAAUAAAACACHTuJAZEDeLkUCAADABAAADgAAAAAAAAAB&#10;ACAAAAAnAQAAZHJzL2Uyb0RvYy54bWxQSwUGAAAAAAYABgBZAQAA3gUAAAAA&#10;">
                <v:fill type="gradient" on="t" color2="#FFFFFF" angle="90" focus="100%" focussize="0,0">
                  <o:fill type="gradientUnscaled" v:ext="backwardCompatible"/>
                </v:fill>
                <v:stroke weight="1.25pt" color="#000000" joinstyle="miter"/>
                <v:imagedata o:title=""/>
                <o:lock v:ext="edit" aspectratio="f"/>
                <v:textbox>
                  <w:txbxContent>
                    <w:p/>
                  </w:txbxContent>
                </v:textbox>
              </v:rect>
            </w:pict>
          </mc:Fallback>
        </mc:AlternateContent>
      </w:r>
      <w:r>
        <w:rPr>
          <w:rFonts w:hint="eastAsia" w:ascii="仿宋" w:hAnsi="仿宋" w:eastAsia="仿宋" w:cs="仿宋"/>
          <w:szCs w:val="21"/>
        </w:rPr>
        <w:t>法人身份证</w:t>
      </w:r>
      <w:r>
        <w:rPr>
          <w:rFonts w:hint="eastAsia" w:ascii="仿宋" w:hAnsi="仿宋" w:eastAsia="仿宋" w:cs="仿宋"/>
          <w:szCs w:val="21"/>
          <w:lang w:val="en-US" w:eastAsia="zh-CN"/>
        </w:rPr>
        <w:t>明</w:t>
      </w:r>
      <w:r>
        <w:rPr>
          <w:rFonts w:hint="eastAsia" w:ascii="仿宋" w:hAnsi="仿宋" w:eastAsia="仿宋" w:cs="仿宋"/>
          <w:szCs w:val="21"/>
        </w:rPr>
        <w:t>（正反面）：</w:t>
      </w:r>
    </w:p>
    <w:p>
      <w:pPr>
        <w:tabs>
          <w:tab w:val="left" w:pos="426"/>
        </w:tabs>
        <w:snapToGrid w:val="0"/>
        <w:spacing w:line="360" w:lineRule="auto"/>
        <w:rPr>
          <w:rFonts w:hint="eastAsia" w:ascii="仿宋" w:hAnsi="仿宋" w:eastAsia="仿宋" w:cs="仿宋"/>
          <w:szCs w:val="21"/>
        </w:rPr>
      </w:pPr>
    </w:p>
    <w:p>
      <w:pPr>
        <w:tabs>
          <w:tab w:val="left" w:pos="426"/>
        </w:tabs>
        <w:snapToGrid w:val="0"/>
        <w:spacing w:line="360" w:lineRule="auto"/>
        <w:rPr>
          <w:rFonts w:hint="eastAsia" w:ascii="仿宋" w:hAnsi="仿宋" w:eastAsia="仿宋" w:cs="仿宋"/>
          <w:szCs w:val="21"/>
        </w:rPr>
      </w:pPr>
    </w:p>
    <w:p>
      <w:pPr>
        <w:tabs>
          <w:tab w:val="left" w:pos="426"/>
        </w:tabs>
        <w:snapToGrid w:val="0"/>
        <w:spacing w:line="360" w:lineRule="auto"/>
        <w:rPr>
          <w:rFonts w:hint="eastAsia" w:ascii="仿宋" w:hAnsi="仿宋" w:eastAsia="仿宋" w:cs="仿宋"/>
          <w:szCs w:val="21"/>
        </w:rPr>
      </w:pPr>
    </w:p>
    <w:p>
      <w:pPr>
        <w:tabs>
          <w:tab w:val="left" w:pos="426"/>
        </w:tabs>
        <w:snapToGrid w:val="0"/>
        <w:spacing w:line="360" w:lineRule="auto"/>
        <w:rPr>
          <w:rFonts w:hint="eastAsia" w:ascii="仿宋" w:hAnsi="仿宋" w:eastAsia="仿宋" w:cs="仿宋"/>
          <w:szCs w:val="21"/>
        </w:rPr>
      </w:pPr>
    </w:p>
    <w:p>
      <w:pPr>
        <w:tabs>
          <w:tab w:val="left" w:pos="426"/>
        </w:tabs>
        <w:snapToGrid w:val="0"/>
        <w:spacing w:line="360" w:lineRule="auto"/>
        <w:rPr>
          <w:rFonts w:hint="eastAsia" w:ascii="仿宋" w:hAnsi="仿宋" w:eastAsia="仿宋" w:cs="仿宋"/>
          <w:szCs w:val="21"/>
        </w:rPr>
      </w:pPr>
    </w:p>
    <w:p>
      <w:pPr>
        <w:tabs>
          <w:tab w:val="left" w:pos="426"/>
        </w:tabs>
        <w:snapToGrid w:val="0"/>
        <w:spacing w:line="360" w:lineRule="auto"/>
        <w:rPr>
          <w:rFonts w:hint="eastAsia" w:ascii="仿宋" w:hAnsi="仿宋" w:eastAsia="仿宋" w:cs="仿宋"/>
          <w:szCs w:val="21"/>
        </w:rPr>
      </w:pPr>
    </w:p>
    <w:p>
      <w:pPr>
        <w:tabs>
          <w:tab w:val="left" w:pos="426"/>
        </w:tabs>
        <w:snapToGrid w:val="0"/>
        <w:spacing w:line="360" w:lineRule="auto"/>
        <w:rPr>
          <w:rFonts w:hint="eastAsia" w:ascii="仿宋" w:hAnsi="仿宋" w:eastAsia="仿宋" w:cs="仿宋"/>
          <w:szCs w:val="21"/>
        </w:rPr>
      </w:pPr>
    </w:p>
    <w:p>
      <w:pPr>
        <w:tabs>
          <w:tab w:val="left" w:pos="426"/>
        </w:tabs>
        <w:snapToGrid w:val="0"/>
        <w:spacing w:line="360" w:lineRule="auto"/>
        <w:rPr>
          <w:rFonts w:hint="eastAsia"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347345</wp:posOffset>
                </wp:positionV>
                <wp:extent cx="2760980" cy="1685290"/>
                <wp:effectExtent l="8255" t="8255" r="19685" b="13335"/>
                <wp:wrapNone/>
                <wp:docPr id="2" name="矩形 3"/>
                <wp:cNvGraphicFramePr/>
                <a:graphic xmlns:a="http://schemas.openxmlformats.org/drawingml/2006/main">
                  <a:graphicData uri="http://schemas.microsoft.com/office/word/2010/wordprocessingShape">
                    <wps:wsp>
                      <wps:cNvSpPr/>
                      <wps:spPr>
                        <a:xfrm>
                          <a:off x="0" y="0"/>
                          <a:ext cx="2760980" cy="168529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3" o:spid="_x0000_s1026" o:spt="1" style="position:absolute;left:0pt;margin-left:-0.35pt;margin-top:27.35pt;height:132.7pt;width:217.4pt;z-index:251660288;mso-width-relative:page;mso-height-relative:page;" fillcolor="#FFFFFF" filled="t" stroked="t" coordsize="21600,21600" o:gfxdata="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SMo9gAAAAIAQAADwAAAAAAAAABACAA&#10;AAAiAAAAZHJzL2Rvd25yZXYueG1sUEsBAhQAFAAAAAgAh07iQEHmNFRGAgAAwAQAAA4AAAAAAAAA&#10;AQAgAAAAJw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txbxContent>
                </v:textbox>
              </v:rect>
            </w:pict>
          </mc:Fallback>
        </mc:AlternateContent>
      </w:r>
    </w:p>
    <w:p>
      <w:pPr>
        <w:jc w:val="cente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tabs>
          <w:tab w:val="left" w:pos="426"/>
        </w:tabs>
        <w:snapToGrid w:val="0"/>
        <w:spacing w:line="360" w:lineRule="auto"/>
        <w:rPr>
          <w:rFonts w:hint="eastAsia" w:ascii="仿宋" w:hAnsi="仿宋" w:eastAsia="仿宋" w:cs="仿宋"/>
          <w:b/>
          <w:szCs w:val="21"/>
        </w:rPr>
      </w:pPr>
      <w:r>
        <w:rPr>
          <w:rFonts w:hint="eastAsia" w:ascii="仿宋" w:hAnsi="仿宋" w:eastAsia="仿宋" w:cs="仿宋"/>
          <w:szCs w:val="21"/>
        </w:rPr>
        <w:br w:type="page"/>
      </w:r>
      <w:r>
        <w:rPr>
          <w:rFonts w:hint="eastAsia" w:ascii="仿宋" w:hAnsi="仿宋" w:eastAsia="仿宋" w:cs="仿宋"/>
          <w:b/>
          <w:sz w:val="24"/>
          <w:szCs w:val="21"/>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231775</wp:posOffset>
                </wp:positionV>
                <wp:extent cx="2760980" cy="1685290"/>
                <wp:effectExtent l="8255" t="8255" r="19685" b="13335"/>
                <wp:wrapNone/>
                <wp:docPr id="3" name="矩形 4"/>
                <wp:cNvGraphicFramePr/>
                <a:graphic xmlns:a="http://schemas.openxmlformats.org/drawingml/2006/main">
                  <a:graphicData uri="http://schemas.microsoft.com/office/word/2010/wordprocessingShape">
                    <wps:wsp>
                      <wps:cNvSpPr/>
                      <wps:spPr>
                        <a:xfrm>
                          <a:off x="0" y="0"/>
                          <a:ext cx="2760980" cy="168529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4" o:spid="_x0000_s1026" o:spt="1" style="position:absolute;left:0pt;margin-left:-0.35pt;margin-top:18.25pt;height:132.7pt;width:217.4pt;z-index:251661312;mso-width-relative:page;mso-height-relative:page;" fillcolor="#FFFFFF" filled="t" stroked="t" coordsize="21600,21600" o:gfxdata="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8k4TdgAAAAIAQAADwAAAAAAAAABACAA&#10;AAAiAAAAZHJzL2Rvd25yZXYueG1sUEsBAhQAFAAAAAgAh07iQF1NXZRGAgAAwAQAAA4AAAAAAAAA&#10;AQAgAAAAJw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txbxContent>
                </v:textbox>
              </v:rect>
            </w:pict>
          </mc:Fallback>
        </mc:AlternateContent>
      </w:r>
      <w:r>
        <w:rPr>
          <w:rFonts w:hint="eastAsia" w:ascii="仿宋" w:hAnsi="仿宋" w:eastAsia="仿宋" w:cs="仿宋"/>
          <w:b/>
          <w:sz w:val="24"/>
          <w:szCs w:val="21"/>
        </w:rPr>
        <w:t>被授权人身份证</w:t>
      </w:r>
      <w:r>
        <w:rPr>
          <w:rFonts w:hint="eastAsia" w:ascii="仿宋" w:hAnsi="仿宋" w:eastAsia="仿宋" w:cs="仿宋"/>
          <w:b/>
          <w:sz w:val="24"/>
          <w:szCs w:val="21"/>
          <w:lang w:val="en-US" w:eastAsia="zh-CN"/>
        </w:rPr>
        <w:t>明</w:t>
      </w:r>
      <w:r>
        <w:rPr>
          <w:rFonts w:hint="eastAsia" w:ascii="仿宋" w:hAnsi="仿宋" w:eastAsia="仿宋" w:cs="仿宋"/>
          <w:b/>
          <w:sz w:val="24"/>
          <w:szCs w:val="21"/>
        </w:rPr>
        <w:t>（正反面）加盖公章：</w:t>
      </w:r>
    </w:p>
    <w:p>
      <w:pPr>
        <w:tabs>
          <w:tab w:val="left" w:pos="426"/>
        </w:tabs>
        <w:snapToGrid w:val="0"/>
        <w:spacing w:line="360" w:lineRule="auto"/>
        <w:rPr>
          <w:rFonts w:hint="eastAsia" w:ascii="仿宋" w:hAnsi="仿宋" w:eastAsia="仿宋" w:cs="仿宋"/>
          <w:szCs w:val="21"/>
        </w:rPr>
      </w:pPr>
    </w:p>
    <w:p>
      <w:pPr>
        <w:tabs>
          <w:tab w:val="left" w:pos="426"/>
        </w:tabs>
        <w:snapToGrid w:val="0"/>
        <w:spacing w:line="360" w:lineRule="auto"/>
        <w:rPr>
          <w:rFonts w:hint="eastAsia" w:ascii="仿宋" w:hAnsi="仿宋" w:eastAsia="仿宋" w:cs="仿宋"/>
          <w:szCs w:val="21"/>
        </w:rPr>
      </w:pPr>
    </w:p>
    <w:p>
      <w:pPr>
        <w:tabs>
          <w:tab w:val="left" w:pos="426"/>
        </w:tabs>
        <w:snapToGrid w:val="0"/>
        <w:spacing w:line="360" w:lineRule="auto"/>
        <w:rPr>
          <w:rFonts w:hint="eastAsia" w:ascii="仿宋" w:hAnsi="仿宋" w:eastAsia="仿宋" w:cs="仿宋"/>
          <w:szCs w:val="21"/>
        </w:rPr>
      </w:pPr>
    </w:p>
    <w:p>
      <w:pPr>
        <w:tabs>
          <w:tab w:val="left" w:pos="426"/>
        </w:tabs>
        <w:snapToGrid w:val="0"/>
        <w:spacing w:line="360" w:lineRule="auto"/>
        <w:rPr>
          <w:rFonts w:hint="eastAsia" w:ascii="仿宋" w:hAnsi="仿宋" w:eastAsia="仿宋" w:cs="仿宋"/>
          <w:szCs w:val="21"/>
        </w:rPr>
      </w:pPr>
    </w:p>
    <w:p>
      <w:pPr>
        <w:tabs>
          <w:tab w:val="left" w:pos="426"/>
        </w:tabs>
        <w:snapToGrid w:val="0"/>
        <w:spacing w:line="360" w:lineRule="auto"/>
        <w:rPr>
          <w:rFonts w:hint="eastAsia" w:ascii="仿宋" w:hAnsi="仿宋" w:eastAsia="仿宋" w:cs="仿宋"/>
          <w:szCs w:val="21"/>
        </w:rPr>
      </w:pPr>
    </w:p>
    <w:p>
      <w:pPr>
        <w:tabs>
          <w:tab w:val="left" w:pos="426"/>
        </w:tabs>
        <w:snapToGrid w:val="0"/>
        <w:spacing w:line="360" w:lineRule="auto"/>
        <w:rPr>
          <w:rFonts w:hint="eastAsia" w:ascii="仿宋" w:hAnsi="仿宋" w:eastAsia="仿宋" w:cs="仿宋"/>
          <w:szCs w:val="21"/>
        </w:rPr>
      </w:pPr>
    </w:p>
    <w:p>
      <w:pPr>
        <w:tabs>
          <w:tab w:val="left" w:pos="426"/>
        </w:tabs>
        <w:snapToGrid w:val="0"/>
        <w:spacing w:line="360" w:lineRule="auto"/>
        <w:rPr>
          <w:rFonts w:hint="eastAsia" w:ascii="仿宋" w:hAnsi="仿宋" w:eastAsia="仿宋" w:cs="仿宋"/>
          <w:szCs w:val="21"/>
        </w:rPr>
      </w:pPr>
    </w:p>
    <w:p>
      <w:pPr>
        <w:tabs>
          <w:tab w:val="left" w:pos="426"/>
        </w:tabs>
        <w:snapToGrid w:val="0"/>
        <w:spacing w:line="360" w:lineRule="auto"/>
        <w:rPr>
          <w:rFonts w:hint="eastAsia"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347345</wp:posOffset>
                </wp:positionV>
                <wp:extent cx="2760980" cy="1685290"/>
                <wp:effectExtent l="8255" t="8255" r="19685" b="13335"/>
                <wp:wrapNone/>
                <wp:docPr id="4" name="矩形 5"/>
                <wp:cNvGraphicFramePr/>
                <a:graphic xmlns:a="http://schemas.openxmlformats.org/drawingml/2006/main">
                  <a:graphicData uri="http://schemas.microsoft.com/office/word/2010/wordprocessingShape">
                    <wps:wsp>
                      <wps:cNvSpPr/>
                      <wps:spPr>
                        <a:xfrm>
                          <a:off x="0" y="0"/>
                          <a:ext cx="2760980" cy="168529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5" o:spid="_x0000_s1026" o:spt="1" style="position:absolute;left:0pt;margin-left:-0.35pt;margin-top:27.35pt;height:132.7pt;width:217.4pt;z-index:251662336;mso-width-relative:page;mso-height-relative:page;" fillcolor="#FFFFFF" filled="t" stroked="t" coordsize="21600,21600" o:gfxdata="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SMo9gAAAAIAQAADwAAAAAAAAABACAA&#10;AAAiAAAAZHJzL2Rvd25yZXYueG1sUEsBAhQAFAAAAAgAh07iQKsEcdFGAgAAwAQAAA4AAAAAAAAA&#10;AQAgAAAAJw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txbxContent>
                </v:textbox>
              </v:rect>
            </w:pict>
          </mc:Fallback>
        </mc:AlternateContent>
      </w:r>
    </w:p>
    <w:p>
      <w:pPr>
        <w:rPr>
          <w:rFonts w:hint="eastAsia" w:ascii="仿宋" w:hAnsi="仿宋" w:eastAsia="仿宋" w:cs="仿宋"/>
          <w:b/>
          <w:sz w:val="32"/>
        </w:rPr>
        <w:sectPr>
          <w:headerReference r:id="rId3" w:type="default"/>
          <w:footerReference r:id="rId4" w:type="default"/>
          <w:pgSz w:w="11906" w:h="16838"/>
          <w:pgMar w:top="1247" w:right="1247" w:bottom="1247" w:left="1247" w:header="851" w:footer="992" w:gutter="0"/>
          <w:pgNumType w:start="1"/>
          <w:cols w:space="720" w:num="1"/>
          <w:rtlGutter w:val="0"/>
          <w:docGrid w:type="lines" w:linePitch="312" w:charSpace="0"/>
        </w:sectPr>
      </w:pPr>
      <w:r>
        <w:rPr>
          <w:rFonts w:hint="eastAsia" w:ascii="仿宋" w:hAnsi="仿宋" w:eastAsia="仿宋" w:cs="仿宋"/>
          <w:szCs w:val="21"/>
        </w:rPr>
        <w:br w:type="page"/>
      </w:r>
      <w:r>
        <w:rPr>
          <w:rFonts w:hint="eastAsia" w:ascii="仿宋" w:hAnsi="仿宋" w:eastAsia="仿宋" w:cs="仿宋"/>
          <w:b/>
          <w:sz w:val="32"/>
        </w:rPr>
        <w:t>企业营业执照副本复印件加盖公章</w:t>
      </w:r>
    </w:p>
    <w:p>
      <w:pPr>
        <w:rPr>
          <w:rFonts w:hint="eastAsia" w:ascii="仿宋" w:hAnsi="仿宋" w:eastAsia="仿宋" w:cs="仿宋"/>
          <w:b/>
          <w:sz w:val="32"/>
        </w:rPr>
      </w:pPr>
      <w:r>
        <w:rPr>
          <w:rFonts w:hint="eastAsia" w:ascii="仿宋" w:hAnsi="仿宋" w:eastAsia="仿宋" w:cs="仿宋"/>
          <w:b/>
          <w:sz w:val="32"/>
        </w:rPr>
        <w:t>保密承诺书加盖公章</w:t>
      </w:r>
    </w:p>
    <w:p>
      <w:pPr>
        <w:snapToGrid w:val="0"/>
        <w:spacing w:line="360" w:lineRule="auto"/>
        <w:rPr>
          <w:rFonts w:hint="eastAsia" w:ascii="仿宋" w:hAnsi="仿宋" w:eastAsia="仿宋" w:cs="仿宋"/>
          <w:sz w:val="24"/>
        </w:rPr>
      </w:pPr>
    </w:p>
    <w:p>
      <w:pPr>
        <w:snapToGrid w:val="0"/>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（采购人）</w:t>
      </w:r>
    </w:p>
    <w:p>
      <w:pPr>
        <w:snapToGrid w:val="0"/>
        <w:spacing w:line="360" w:lineRule="auto"/>
        <w:ind w:firstLine="420"/>
        <w:rPr>
          <w:rFonts w:hint="eastAsia" w:ascii="仿宋" w:hAnsi="仿宋" w:eastAsia="仿宋" w:cs="仿宋"/>
          <w:sz w:val="24"/>
        </w:rPr>
      </w:pPr>
      <w:r>
        <w:rPr>
          <w:rFonts w:hint="eastAsia" w:ascii="仿宋" w:hAnsi="仿宋" w:eastAsia="仿宋" w:cs="仿宋"/>
          <w:sz w:val="24"/>
        </w:rPr>
        <w:t xml:space="preserve">鉴于 </w:t>
      </w:r>
      <w:r>
        <w:rPr>
          <w:rFonts w:hint="eastAsia" w:ascii="仿宋" w:hAnsi="仿宋" w:eastAsia="仿宋" w:cs="仿宋"/>
          <w:sz w:val="24"/>
          <w:u w:val="single"/>
        </w:rPr>
        <w:t xml:space="preserve">                              （项目名称）</w:t>
      </w:r>
      <w:r>
        <w:rPr>
          <w:rFonts w:hint="eastAsia" w:ascii="仿宋" w:hAnsi="仿宋" w:eastAsia="仿宋" w:cs="仿宋"/>
          <w:sz w:val="24"/>
        </w:rPr>
        <w:t>的特点，我方特做如下保密承诺：</w:t>
      </w:r>
    </w:p>
    <w:p>
      <w:pPr>
        <w:snapToGrid w:val="0"/>
        <w:spacing w:line="360" w:lineRule="auto"/>
        <w:ind w:firstLine="420"/>
        <w:rPr>
          <w:rFonts w:hint="eastAsia" w:ascii="仿宋" w:hAnsi="仿宋" w:eastAsia="仿宋" w:cs="仿宋"/>
          <w:sz w:val="24"/>
        </w:rPr>
      </w:pPr>
      <w:r>
        <w:rPr>
          <w:rFonts w:hint="eastAsia" w:ascii="仿宋" w:hAnsi="仿宋" w:eastAsia="仿宋" w:cs="仿宋"/>
          <w:sz w:val="24"/>
        </w:rPr>
        <w:t>不论是否参与本项目、响应成功与否，对因上述项目我方所获取的与该项目有关的相关资料、信息及其他有关文件严格进行保密，并保证不以任何形式（复印或扫描等）进行复制；同时对参与本项目的所有有关人员在使用上述信息、资料文件时进行登记备案；未经本项目业主单位同意，保证不将与本项目有关的任何资料发表、公布或对外泄露。</w:t>
      </w:r>
    </w:p>
    <w:p>
      <w:pPr>
        <w:snapToGrid w:val="0"/>
        <w:spacing w:line="360" w:lineRule="auto"/>
        <w:ind w:firstLine="420"/>
        <w:rPr>
          <w:rFonts w:hint="eastAsia" w:ascii="仿宋" w:hAnsi="仿宋" w:eastAsia="仿宋" w:cs="仿宋"/>
          <w:sz w:val="24"/>
        </w:rPr>
      </w:pPr>
      <w:r>
        <w:rPr>
          <w:rFonts w:hint="eastAsia" w:ascii="仿宋" w:hAnsi="仿宋" w:eastAsia="仿宋" w:cs="仿宋"/>
          <w:sz w:val="24"/>
        </w:rPr>
        <w:t>一旦发现或有举报我方人员出现泄密或其他违约行为，经证实后我方除对有关责任人员及时予以内部处分外，完全愿意接受本项目业主单位的处理意见并负责承担由此而产生的一切后果与法律责任。</w:t>
      </w:r>
    </w:p>
    <w:p>
      <w:pPr>
        <w:snapToGrid w:val="0"/>
        <w:spacing w:line="360" w:lineRule="auto"/>
        <w:ind w:firstLine="420"/>
        <w:rPr>
          <w:rFonts w:hint="eastAsia" w:ascii="仿宋" w:hAnsi="仿宋" w:eastAsia="仿宋" w:cs="仿宋"/>
          <w:kern w:val="24"/>
          <w:sz w:val="24"/>
        </w:rPr>
      </w:pPr>
    </w:p>
    <w:p>
      <w:pPr>
        <w:snapToGrid w:val="0"/>
        <w:spacing w:line="360" w:lineRule="auto"/>
        <w:ind w:firstLine="420"/>
        <w:rPr>
          <w:rFonts w:hint="eastAsia" w:ascii="仿宋" w:hAnsi="仿宋" w:eastAsia="仿宋" w:cs="仿宋"/>
          <w:kern w:val="24"/>
          <w:sz w:val="24"/>
        </w:rPr>
      </w:pPr>
      <w:r>
        <w:rPr>
          <w:rFonts w:hint="eastAsia" w:ascii="仿宋" w:hAnsi="仿宋" w:eastAsia="仿宋" w:cs="仿宋"/>
          <w:kern w:val="24"/>
          <w:sz w:val="24"/>
        </w:rPr>
        <w:t xml:space="preserve">   特此承诺。</w:t>
      </w:r>
    </w:p>
    <w:p>
      <w:pPr>
        <w:snapToGrid w:val="0"/>
        <w:spacing w:line="360" w:lineRule="auto"/>
        <w:ind w:firstLine="420"/>
        <w:rPr>
          <w:rFonts w:hint="eastAsia" w:ascii="仿宋" w:hAnsi="仿宋" w:eastAsia="仿宋" w:cs="仿宋"/>
          <w:kern w:val="24"/>
          <w:sz w:val="24"/>
        </w:rPr>
      </w:pPr>
    </w:p>
    <w:p>
      <w:pPr>
        <w:spacing w:line="360" w:lineRule="auto"/>
        <w:rPr>
          <w:rFonts w:hint="eastAsia" w:ascii="仿宋" w:hAnsi="仿宋" w:eastAsia="仿宋" w:cs="仿宋"/>
          <w:sz w:val="24"/>
          <w:u w:val="single"/>
        </w:rPr>
      </w:pPr>
      <w:r>
        <w:rPr>
          <w:rFonts w:hint="eastAsia" w:ascii="仿宋" w:hAnsi="仿宋" w:eastAsia="仿宋" w:cs="仿宋"/>
          <w:sz w:val="24"/>
        </w:rPr>
        <w:t>供应商名称：</w:t>
      </w:r>
      <w:r>
        <w:rPr>
          <w:rFonts w:hint="eastAsia" w:ascii="仿宋" w:hAnsi="仿宋" w:eastAsia="仿宋" w:cs="仿宋"/>
          <w:sz w:val="24"/>
          <w:u w:val="single"/>
        </w:rPr>
        <w:t xml:space="preserve">        公章         </w:t>
      </w:r>
    </w:p>
    <w:p>
      <w:pPr>
        <w:spacing w:line="360" w:lineRule="auto"/>
        <w:rPr>
          <w:rFonts w:hint="eastAsia" w:ascii="仿宋" w:hAnsi="仿宋" w:eastAsia="仿宋" w:cs="仿宋"/>
          <w:sz w:val="24"/>
          <w:u w:val="single"/>
        </w:rPr>
      </w:pPr>
      <w:r>
        <w:rPr>
          <w:rFonts w:hint="eastAsia" w:ascii="仿宋" w:hAnsi="仿宋" w:eastAsia="仿宋" w:cs="仿宋"/>
          <w:sz w:val="24"/>
        </w:rPr>
        <w:t>授权代表：</w:t>
      </w:r>
      <w:r>
        <w:rPr>
          <w:rFonts w:hint="eastAsia" w:ascii="仿宋" w:hAnsi="仿宋" w:eastAsia="仿宋" w:cs="仿宋"/>
          <w:sz w:val="24"/>
          <w:u w:val="single"/>
        </w:rPr>
        <w:t xml:space="preserve">     签字             </w:t>
      </w:r>
    </w:p>
    <w:p>
      <w:pPr>
        <w:spacing w:line="360" w:lineRule="auto"/>
        <w:rPr>
          <w:rFonts w:hint="eastAsia" w:ascii="仿宋" w:hAnsi="仿宋" w:eastAsia="仿宋" w:cs="仿宋"/>
          <w:sz w:val="24"/>
          <w:u w:val="single"/>
        </w:rPr>
      </w:pPr>
      <w:r>
        <w:rPr>
          <w:rFonts w:hint="eastAsia" w:ascii="仿宋" w:hAnsi="仿宋" w:eastAsia="仿宋" w:cs="仿宋"/>
          <w:sz w:val="24"/>
        </w:rPr>
        <w:t>日期 ：</w:t>
      </w:r>
      <w:r>
        <w:rPr>
          <w:rFonts w:hint="eastAsia" w:ascii="仿宋" w:hAnsi="仿宋" w:eastAsia="仿宋" w:cs="仿宋"/>
          <w:sz w:val="24"/>
          <w:u w:val="single"/>
        </w:rPr>
        <w:t xml:space="preserve">                         </w:t>
      </w:r>
    </w:p>
    <w:p>
      <w:pPr>
        <w:spacing w:line="360" w:lineRule="auto"/>
        <w:rPr>
          <w:rFonts w:hint="eastAsia" w:ascii="仿宋" w:hAnsi="仿宋" w:eastAsia="仿宋" w:cs="仿宋"/>
        </w:rPr>
        <w:sectPr>
          <w:pgSz w:w="11906" w:h="16838"/>
          <w:pgMar w:top="1247" w:right="1247" w:bottom="1247" w:left="1247" w:header="851" w:footer="992" w:gutter="0"/>
          <w:cols w:space="720" w:num="1"/>
          <w:rtlGutter w:val="0"/>
          <w:docGrid w:type="lines" w:linePitch="312" w:charSpace="0"/>
        </w:sectPr>
      </w:pPr>
    </w:p>
    <w:p>
      <w:pPr>
        <w:rPr>
          <w:rFonts w:hint="eastAsia" w:ascii="仿宋" w:hAnsi="仿宋" w:eastAsia="仿宋" w:cs="仿宋"/>
          <w:b/>
          <w:sz w:val="32"/>
        </w:rPr>
        <w:sectPr>
          <w:pgSz w:w="11906" w:h="16838"/>
          <w:pgMar w:top="1247" w:right="1247" w:bottom="1247" w:left="1247" w:header="851" w:footer="992" w:gutter="0"/>
          <w:cols w:space="720" w:num="1"/>
          <w:rtlGutter w:val="0"/>
          <w:docGrid w:type="lines" w:linePitch="312" w:charSpace="0"/>
        </w:sectPr>
      </w:pPr>
      <w:r>
        <w:rPr>
          <w:rFonts w:hint="eastAsia" w:ascii="仿宋" w:hAnsi="仿宋" w:eastAsia="仿宋" w:cs="仿宋"/>
          <w:b/>
          <w:sz w:val="32"/>
        </w:rPr>
        <w:t>公司介绍加盖公章</w:t>
      </w:r>
    </w:p>
    <w:p>
      <w:pPr>
        <w:pStyle w:val="12"/>
        <w:ind w:left="0" w:leftChars="0" w:firstLine="0" w:firstLineChars="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附件-</w:t>
      </w:r>
      <w:r>
        <w:rPr>
          <w:rFonts w:hint="eastAsia" w:ascii="仿宋" w:hAnsi="仿宋" w:eastAsia="仿宋" w:cs="仿宋"/>
          <w:kern w:val="0"/>
          <w:sz w:val="28"/>
          <w:szCs w:val="28"/>
          <w:lang w:val="en-US" w:eastAsia="zh-CN"/>
        </w:rPr>
        <w:t>项目需求</w:t>
      </w:r>
    </w:p>
    <w:p>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bookmarkStart w:id="0" w:name="_Toc212523049"/>
      <w:bookmarkEnd w:id="0"/>
      <w:bookmarkStart w:id="1" w:name="_Toc212522901"/>
      <w:bookmarkEnd w:id="1"/>
      <w:bookmarkStart w:id="2" w:name="_Toc212523070"/>
      <w:bookmarkEnd w:id="2"/>
      <w:bookmarkStart w:id="3" w:name="_Toc209347469"/>
      <w:bookmarkEnd w:id="3"/>
      <w:bookmarkStart w:id="4" w:name="_Toc212522931"/>
      <w:bookmarkEnd w:id="4"/>
      <w:bookmarkStart w:id="5" w:name="_Toc212522525"/>
      <w:bookmarkEnd w:id="5"/>
      <w:bookmarkStart w:id="6" w:name="_Toc212522919"/>
      <w:bookmarkEnd w:id="6"/>
      <w:bookmarkStart w:id="7" w:name="_Toc212523061"/>
      <w:bookmarkEnd w:id="7"/>
      <w:bookmarkStart w:id="8" w:name="_Toc212522543"/>
      <w:bookmarkEnd w:id="8"/>
      <w:bookmarkStart w:id="9" w:name="_Toc209347470"/>
      <w:bookmarkEnd w:id="9"/>
      <w:bookmarkStart w:id="10" w:name="_Toc212522904"/>
      <w:bookmarkEnd w:id="10"/>
      <w:bookmarkStart w:id="11" w:name="_Toc212522528"/>
      <w:bookmarkEnd w:id="11"/>
      <w:bookmarkStart w:id="12" w:name="_Toc212522519"/>
      <w:bookmarkEnd w:id="12"/>
      <w:bookmarkStart w:id="13" w:name="_Toc454288809"/>
      <w:bookmarkEnd w:id="13"/>
      <w:bookmarkStart w:id="14" w:name="_Toc212522513"/>
      <w:bookmarkEnd w:id="14"/>
      <w:bookmarkStart w:id="15" w:name="_Toc212522522"/>
      <w:bookmarkEnd w:id="15"/>
      <w:bookmarkStart w:id="16" w:name="_Toc212523073"/>
      <w:bookmarkEnd w:id="16"/>
      <w:bookmarkStart w:id="17" w:name="_Toc212522925"/>
      <w:bookmarkEnd w:id="17"/>
      <w:bookmarkStart w:id="18" w:name="_Toc212523046"/>
      <w:bookmarkEnd w:id="18"/>
      <w:bookmarkStart w:id="19" w:name="_Toc212522922"/>
      <w:bookmarkEnd w:id="19"/>
      <w:bookmarkStart w:id="20" w:name="_Toc212522531"/>
      <w:bookmarkEnd w:id="20"/>
      <w:bookmarkStart w:id="21" w:name="_Toc209347459"/>
      <w:bookmarkEnd w:id="21"/>
      <w:bookmarkStart w:id="22" w:name="_Toc212523058"/>
      <w:bookmarkEnd w:id="22"/>
      <w:bookmarkStart w:id="23" w:name="_Toc212522907"/>
      <w:bookmarkEnd w:id="23"/>
      <w:bookmarkStart w:id="24" w:name="_Toc212523076"/>
      <w:bookmarkEnd w:id="24"/>
      <w:bookmarkStart w:id="25" w:name="_Toc212523044"/>
      <w:bookmarkEnd w:id="25"/>
      <w:bookmarkStart w:id="26" w:name="_Toc184538753"/>
      <w:bookmarkEnd w:id="26"/>
      <w:bookmarkStart w:id="27" w:name="_Toc212522913"/>
      <w:bookmarkEnd w:id="27"/>
      <w:bookmarkStart w:id="28" w:name="_Toc212522534"/>
      <w:bookmarkEnd w:id="28"/>
      <w:bookmarkStart w:id="29" w:name="_Toc212522910"/>
      <w:bookmarkEnd w:id="29"/>
      <w:bookmarkStart w:id="30" w:name="_Toc212523067"/>
      <w:bookmarkEnd w:id="30"/>
      <w:bookmarkStart w:id="31" w:name="_Toc209347468"/>
      <w:bookmarkEnd w:id="31"/>
      <w:bookmarkStart w:id="32" w:name="_Toc209340882"/>
      <w:bookmarkEnd w:id="32"/>
      <w:bookmarkStart w:id="33" w:name="_Toc209340886"/>
      <w:bookmarkEnd w:id="33"/>
      <w:bookmarkStart w:id="34" w:name="_Toc212522928"/>
      <w:bookmarkEnd w:id="34"/>
      <w:bookmarkStart w:id="35" w:name="_Toc212523064"/>
      <w:bookmarkEnd w:id="35"/>
      <w:bookmarkStart w:id="36" w:name="_Toc209347463"/>
      <w:bookmarkEnd w:id="36"/>
      <w:bookmarkStart w:id="37" w:name="_Toc209347471"/>
      <w:bookmarkEnd w:id="37"/>
      <w:bookmarkStart w:id="38" w:name="_Toc212522516"/>
      <w:bookmarkEnd w:id="38"/>
      <w:bookmarkStart w:id="39" w:name="_Toc212523052"/>
      <w:bookmarkEnd w:id="39"/>
      <w:bookmarkStart w:id="40" w:name="_Toc212522537"/>
      <w:bookmarkEnd w:id="40"/>
      <w:bookmarkStart w:id="41" w:name="_Toc212522540"/>
      <w:bookmarkEnd w:id="41"/>
      <w:bookmarkStart w:id="42" w:name="_Toc212522916"/>
      <w:bookmarkEnd w:id="42"/>
      <w:bookmarkStart w:id="43" w:name="_Toc212523055"/>
      <w:bookmarkEnd w:id="43"/>
      <w:bookmarkStart w:id="44" w:name="_Toc29772"/>
      <w:bookmarkStart w:id="45" w:name="_Toc178582706"/>
      <w:r>
        <w:rPr>
          <w:rFonts w:hint="eastAsia" w:ascii="仿宋" w:hAnsi="仿宋" w:eastAsia="仿宋" w:cs="仿宋"/>
          <w:b/>
          <w:bCs/>
          <w:sz w:val="24"/>
          <w:szCs w:val="24"/>
        </w:rPr>
        <w:t>一、项目介绍</w:t>
      </w:r>
      <w:bookmarkEnd w:id="44"/>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仿宋" w:hAnsi="仿宋" w:eastAsia="仿宋" w:cs="仿宋"/>
          <w:b/>
          <w:bCs/>
          <w:sz w:val="24"/>
          <w:szCs w:val="24"/>
          <w:lang w:val="en-US" w:eastAsia="zh-CN"/>
        </w:rPr>
      </w:pPr>
      <w:bookmarkStart w:id="46" w:name="_Toc20375"/>
      <w:bookmarkStart w:id="47" w:name="_Toc14418"/>
      <w:r>
        <w:rPr>
          <w:rFonts w:hint="eastAsia" w:ascii="仿宋" w:hAnsi="仿宋" w:eastAsia="仿宋" w:cs="仿宋"/>
          <w:b/>
          <w:bCs/>
          <w:sz w:val="24"/>
          <w:szCs w:val="24"/>
          <w:lang w:val="en-US" w:eastAsia="zh-CN"/>
        </w:rPr>
        <w:t>（一）项目背景概述</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根据采购人信息技术应用创新工作安排，拟将23个联合开发系统全栈改造作为本项目采购内容。</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（二）需求依据和来源</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按照采购人2026年信息技术应用创新工作计划，开展联合开发系统开展全栈改造。</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（三）功能或目标</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完成20个联合开发系统的全栈改造及投产工作，具体系统包含：产品研发、贷款损失准备金管理、定价管理-定价模型-OLAP、客户服务、内部转移价格管理、债券承分销、资产负债管理、P5-支付结算领域、支付结算-国际结算组件、支付结算组件-支付、清算系统、汇路外币、外币支付、SWIFT报文服务平台、支付辅助、金融市场投资组合与资金交易定报价平台、投资组合与资金交易、对客资金交易、P5-对公外联平台、P3-内部产品、数据管理领域（详见附件）。</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2.完成3个已对数据库适配改造的联合开发系统的全栈改造及投产工作，具体系统包含：会计集中对账、新电子验印应用平台、查冻扣系统（详见附件）。</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上述系统改造应满足采购人提供的软硬件基础平台，包括但不限于服务器、操作系统、数据库、中间件等，要求支持主流国产产品，产品名录可参考中国信息安全测评中心发布的《安全可靠测评结果公告》，具体内容以采购人提供的内容为准。</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4.2026年12月前完成全部系统适配实施和投产上线，并提供1年的保修服务。</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5.配合完成上述系统的用户验收测试工作。</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6.完成上述系统的投产支持工作。</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sz w:val="24"/>
          <w:szCs w:val="24"/>
          <w:lang w:val="en-US" w:eastAsia="zh-CN"/>
        </w:rPr>
        <w:t>7.配合完成上级管理单位的相关检查并按要求协助完成整改。</w:t>
      </w:r>
    </w:p>
    <w:bookmarkEnd w:id="46"/>
    <w:p>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bookmarkStart w:id="48" w:name="_Toc14009"/>
      <w:r>
        <w:rPr>
          <w:rFonts w:hint="eastAsia" w:ascii="仿宋" w:hAnsi="仿宋" w:eastAsia="仿宋" w:cs="仿宋"/>
          <w:b/>
          <w:bCs/>
          <w:sz w:val="24"/>
          <w:szCs w:val="24"/>
        </w:rPr>
        <w:t>二、</w:t>
      </w:r>
      <w:bookmarkEnd w:id="47"/>
      <w:r>
        <w:rPr>
          <w:rFonts w:hint="eastAsia" w:ascii="仿宋" w:hAnsi="仿宋" w:eastAsia="仿宋" w:cs="仿宋"/>
          <w:b/>
          <w:bCs/>
          <w:sz w:val="24"/>
          <w:szCs w:val="24"/>
        </w:rPr>
        <w:t>服务一览表</w:t>
      </w:r>
      <w:bookmarkEnd w:id="48"/>
    </w:p>
    <w:tbl>
      <w:tblPr>
        <w:tblStyle w:val="13"/>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524"/>
        <w:gridCol w:w="6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黑体" w:hAnsi="黑体" w:eastAsia="黑体" w:cs="黑体"/>
                <w:b/>
                <w:bCs/>
                <w:color w:val="auto"/>
                <w:sz w:val="24"/>
              </w:rPr>
            </w:pPr>
            <w:bookmarkStart w:id="49" w:name="_Toc20903"/>
            <w:r>
              <w:rPr>
                <w:rFonts w:hint="eastAsia" w:ascii="黑体" w:hAnsi="黑体" w:eastAsia="黑体" w:cs="黑体"/>
                <w:b/>
                <w:bCs/>
                <w:color w:val="auto"/>
                <w:sz w:val="24"/>
              </w:rPr>
              <w:t>序号</w:t>
            </w:r>
          </w:p>
        </w:tc>
        <w:tc>
          <w:tcPr>
            <w:tcW w:w="152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黑体" w:hAnsi="黑体" w:eastAsia="黑体" w:cs="黑体"/>
                <w:b/>
                <w:bCs/>
                <w:color w:val="auto"/>
                <w:sz w:val="24"/>
                <w:lang w:eastAsia="zh-CN"/>
              </w:rPr>
            </w:pPr>
            <w:r>
              <w:rPr>
                <w:rFonts w:hint="eastAsia" w:ascii="黑体" w:hAnsi="黑体" w:eastAsia="黑体" w:cs="黑体"/>
                <w:b/>
                <w:bCs/>
                <w:color w:val="auto"/>
                <w:sz w:val="24"/>
              </w:rPr>
              <w:t>服务</w:t>
            </w:r>
            <w:r>
              <w:rPr>
                <w:rFonts w:hint="eastAsia" w:ascii="黑体" w:hAnsi="黑体" w:eastAsia="黑体" w:cs="黑体"/>
                <w:b/>
                <w:bCs/>
                <w:color w:val="auto"/>
                <w:sz w:val="24"/>
                <w:lang w:val="en-US" w:eastAsia="zh-CN"/>
              </w:rPr>
              <w:t>内容</w:t>
            </w:r>
          </w:p>
        </w:tc>
        <w:tc>
          <w:tcPr>
            <w:tcW w:w="676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黑体" w:hAnsi="黑体" w:eastAsia="黑体" w:cs="黑体"/>
                <w:b/>
                <w:bCs/>
                <w:color w:val="auto"/>
                <w:sz w:val="24"/>
              </w:rPr>
            </w:pPr>
            <w:r>
              <w:rPr>
                <w:rFonts w:hint="default" w:ascii="黑体" w:hAnsi="黑体" w:eastAsia="黑体" w:cs="黑体"/>
                <w:b/>
                <w:bCs/>
                <w:color w:val="auto"/>
                <w:sz w:val="24"/>
                <w:lang w:eastAsia="zh-CN"/>
              </w:rPr>
              <w:t>主要</w:t>
            </w:r>
            <w:r>
              <w:rPr>
                <w:rFonts w:hint="eastAsia" w:ascii="黑体" w:hAnsi="黑体" w:eastAsia="黑体" w:cs="黑体"/>
                <w:b/>
                <w:bCs/>
                <w:color w:val="auto"/>
                <w:sz w:val="24"/>
                <w:lang w:val="en-US"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6"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auto"/>
                <w:sz w:val="24"/>
              </w:rPr>
            </w:pPr>
          </w:p>
        </w:tc>
        <w:tc>
          <w:tcPr>
            <w:tcW w:w="1524"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auto"/>
                <w:sz w:val="24"/>
              </w:rPr>
            </w:pPr>
          </w:p>
        </w:tc>
        <w:tc>
          <w:tcPr>
            <w:tcW w:w="6768"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066" w:type="dxa"/>
            <w:tcBorders>
              <w:top w:val="single" w:color="auto" w:sz="4" w:space="0"/>
              <w:left w:val="single" w:color="auto" w:sz="4" w:space="0"/>
              <w:right w:val="single" w:color="auto" w:sz="4" w:space="0"/>
            </w:tcBorders>
            <w:noWrap w:val="0"/>
            <w:vAlign w:val="center"/>
          </w:tcPr>
          <w:p>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hanging="454" w:firstLineChars="0"/>
              <w:jc w:val="center"/>
              <w:textAlignment w:val="auto"/>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项目管理</w:t>
            </w:r>
          </w:p>
        </w:tc>
        <w:tc>
          <w:tcPr>
            <w:tcW w:w="6768" w:type="dxa"/>
            <w:tcBorders>
              <w:top w:val="single" w:color="auto" w:sz="4" w:space="0"/>
              <w:left w:val="single" w:color="auto" w:sz="4" w:space="0"/>
              <w:right w:val="single" w:color="auto" w:sz="4" w:space="0"/>
            </w:tcBorders>
            <w:noWrap w:val="0"/>
            <w:vAlign w:val="center"/>
          </w:tcPr>
          <w:p>
            <w:pPr>
              <w:pStyle w:val="2"/>
              <w:widowControl/>
              <w:numPr>
                <w:ilvl w:val="0"/>
                <w:numId w:val="0"/>
              </w:numPr>
              <w:spacing w:after="0" w:line="400" w:lineRule="exact"/>
              <w:ind w:left="0" w:leftChars="0" w:firstLine="0" w:firstLineChars="0"/>
              <w:jc w:val="left"/>
              <w:rPr>
                <w:rFonts w:hint="default" w:ascii="仿宋_GB2312" w:hAnsi="仿宋_GB2312" w:eastAsia="仿宋_GB2312" w:cs="仿宋_GB2312"/>
                <w:color w:val="auto"/>
                <w:sz w:val="24"/>
                <w:lang w:eastAsia="zh-CN"/>
              </w:rPr>
            </w:pPr>
            <w:r>
              <w:rPr>
                <w:rFonts w:hint="eastAsia" w:ascii="Times New Roman" w:hAnsi="楷体" w:eastAsia="仿宋_GB2312"/>
                <w:sz w:val="24"/>
                <w:szCs w:val="22"/>
                <w:lang w:val="en-US" w:eastAsia="zh-CN"/>
              </w:rPr>
              <w:t>配合采购人开展以下工作：</w:t>
            </w:r>
            <w:r>
              <w:rPr>
                <w:rFonts w:hint="default" w:ascii="Times New Roman" w:hAnsi="楷体" w:eastAsia="仿宋_GB2312"/>
                <w:sz w:val="24"/>
                <w:szCs w:val="22"/>
              </w:rPr>
              <w:t>制定项目计划，监督和控制项目进度</w:t>
            </w:r>
            <w:r>
              <w:rPr>
                <w:rFonts w:hint="eastAsia" w:ascii="Times New Roman" w:hAnsi="楷体" w:eastAsia="仿宋_GB2312"/>
                <w:sz w:val="24"/>
                <w:szCs w:val="22"/>
                <w:lang w:val="en-US" w:eastAsia="zh-CN"/>
              </w:rPr>
              <w:t>；</w:t>
            </w:r>
            <w:r>
              <w:rPr>
                <w:rFonts w:hint="default" w:hAnsi="楷体" w:eastAsia="仿宋_GB2312"/>
                <w:sz w:val="24"/>
                <w:szCs w:val="22"/>
                <w:lang w:eastAsia="zh-CN"/>
              </w:rPr>
              <w:t>负责</w:t>
            </w:r>
            <w:r>
              <w:rPr>
                <w:rFonts w:hint="default" w:ascii="Times New Roman" w:hAnsi="楷体" w:eastAsia="仿宋_GB2312"/>
                <w:sz w:val="24"/>
                <w:szCs w:val="22"/>
              </w:rPr>
              <w:t>管理安排项目资源</w:t>
            </w:r>
            <w:r>
              <w:rPr>
                <w:rFonts w:hint="eastAsia" w:ascii="Times New Roman" w:hAnsi="楷体" w:eastAsia="仿宋_GB2312"/>
                <w:sz w:val="24"/>
                <w:szCs w:val="22"/>
                <w:lang w:val="en-US" w:eastAsia="zh-CN"/>
              </w:rPr>
              <w:t>；开展</w:t>
            </w:r>
            <w:r>
              <w:rPr>
                <w:rFonts w:hint="default" w:ascii="Times New Roman" w:hAnsi="楷体" w:eastAsia="仿宋_GB2312"/>
                <w:sz w:val="24"/>
                <w:szCs w:val="22"/>
              </w:rPr>
              <w:t>实施项目配置和交付管理以及项目质量管理</w:t>
            </w:r>
            <w:r>
              <w:rPr>
                <w:rFonts w:hint="eastAsia" w:ascii="Times New Roman" w:hAnsi="楷体" w:eastAsia="仿宋_GB2312"/>
                <w:sz w:val="24"/>
                <w:szCs w:val="22"/>
                <w:lang w:val="en-US" w:eastAsia="zh-CN"/>
              </w:rPr>
              <w:t>；开展</w:t>
            </w:r>
            <w:r>
              <w:rPr>
                <w:rFonts w:hint="default" w:ascii="Times New Roman" w:hAnsi="楷体" w:eastAsia="仿宋_GB2312"/>
                <w:sz w:val="24"/>
                <w:szCs w:val="22"/>
              </w:rPr>
              <w:t>项目问题管理和项目风险管理</w:t>
            </w:r>
            <w:r>
              <w:rPr>
                <w:rFonts w:hint="eastAsia" w:ascii="Times New Roman" w:hAnsi="楷体" w:eastAsia="仿宋_GB2312"/>
                <w:sz w:val="24"/>
                <w:szCs w:val="22"/>
                <w:lang w:val="en-US" w:eastAsia="zh-CN"/>
              </w:rPr>
              <w:t>；</w:t>
            </w:r>
            <w:r>
              <w:rPr>
                <w:rFonts w:hint="default" w:ascii="Times New Roman" w:hAnsi="楷体" w:eastAsia="仿宋_GB2312"/>
                <w:sz w:val="24"/>
                <w:szCs w:val="22"/>
              </w:rPr>
              <w:t>按照要求</w:t>
            </w:r>
            <w:r>
              <w:rPr>
                <w:rFonts w:hint="eastAsia" w:ascii="Times New Roman" w:hAnsi="楷体" w:eastAsia="仿宋_GB2312"/>
                <w:sz w:val="24"/>
                <w:szCs w:val="22"/>
                <w:lang w:val="en-US" w:eastAsia="zh-CN"/>
              </w:rPr>
              <w:t>定期</w:t>
            </w:r>
            <w:r>
              <w:rPr>
                <w:rFonts w:hint="default" w:ascii="Times New Roman" w:hAnsi="楷体" w:eastAsia="仿宋_GB2312"/>
                <w:sz w:val="24"/>
                <w:szCs w:val="22"/>
              </w:rPr>
              <w:t>进行工作报告</w:t>
            </w:r>
            <w:r>
              <w:rPr>
                <w:rFonts w:hint="eastAsia" w:ascii="Times New Roman" w:hAnsi="楷体" w:eastAsia="仿宋_GB2312"/>
                <w:sz w:val="24"/>
                <w:szCs w:val="22"/>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066" w:type="dxa"/>
            <w:tcBorders>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hanging="454" w:firstLineChars="0"/>
              <w:jc w:val="center"/>
              <w:textAlignment w:val="auto"/>
              <w:rPr>
                <w:rFonts w:hint="default" w:ascii="Times New Roman" w:hAnsi="Times New Roman" w:eastAsia="仿宋_GB2312" w:cs="Times New Roman"/>
                <w:color w:val="auto"/>
                <w:sz w:val="24"/>
              </w:rPr>
            </w:pPr>
          </w:p>
        </w:tc>
        <w:tc>
          <w:tcPr>
            <w:tcW w:w="1524"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lang w:eastAsia="zh-CN"/>
              </w:rPr>
            </w:pPr>
            <w:r>
              <w:rPr>
                <w:rFonts w:hint="default" w:ascii="仿宋_GB2312" w:hAnsi="仿宋_GB2312" w:eastAsia="仿宋_GB2312" w:cs="仿宋_GB2312"/>
                <w:color w:val="auto"/>
                <w:sz w:val="24"/>
                <w:lang w:eastAsia="zh-CN"/>
              </w:rPr>
              <w:t>设</w:t>
            </w:r>
            <w:r>
              <w:rPr>
                <w:rFonts w:hint="eastAsia" w:ascii="仿宋_GB2312" w:hAnsi="仿宋_GB2312" w:eastAsia="仿宋_GB2312" w:cs="仿宋_GB2312"/>
                <w:color w:val="auto"/>
                <w:sz w:val="24"/>
                <w:lang w:val="en-US" w:eastAsia="zh-CN"/>
              </w:rPr>
              <w:t xml:space="preserve">  </w:t>
            </w:r>
            <w:r>
              <w:rPr>
                <w:rFonts w:hint="default" w:ascii="仿宋_GB2312" w:hAnsi="仿宋_GB2312" w:eastAsia="仿宋_GB2312" w:cs="仿宋_GB2312"/>
                <w:color w:val="auto"/>
                <w:sz w:val="24"/>
                <w:lang w:eastAsia="zh-CN"/>
              </w:rPr>
              <w:t>计</w:t>
            </w:r>
          </w:p>
        </w:tc>
        <w:tc>
          <w:tcPr>
            <w:tcW w:w="6768"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完成项目整体适配改造方案，</w:t>
            </w:r>
            <w:r>
              <w:rPr>
                <w:rFonts w:hint="default" w:ascii="仿宋_GB2312" w:hAnsi="仿宋_GB2312" w:eastAsia="仿宋_GB2312" w:cs="仿宋_GB2312"/>
                <w:color w:val="auto"/>
                <w:sz w:val="24"/>
                <w:lang w:eastAsia="zh-CN"/>
              </w:rPr>
              <w:t>完成</w:t>
            </w:r>
            <w:r>
              <w:rPr>
                <w:rFonts w:hint="eastAsia" w:ascii="仿宋_GB2312" w:hAnsi="仿宋_GB2312" w:eastAsia="仿宋_GB2312" w:cs="仿宋_GB2312"/>
                <w:color w:val="auto"/>
                <w:sz w:val="24"/>
                <w:lang w:val="en-US" w:eastAsia="zh-CN"/>
              </w:rPr>
              <w:t>相关</w:t>
            </w:r>
            <w:r>
              <w:rPr>
                <w:rFonts w:hint="default" w:ascii="仿宋_GB2312" w:hAnsi="仿宋_GB2312" w:eastAsia="仿宋_GB2312" w:cs="仿宋_GB2312"/>
                <w:color w:val="auto"/>
                <w:sz w:val="24"/>
                <w:lang w:eastAsia="zh-CN"/>
              </w:rPr>
              <w:t>物理子系统的概要设计、详细设计等相关工作，形成相应</w:t>
            </w:r>
            <w:r>
              <w:rPr>
                <w:rFonts w:hint="eastAsia" w:ascii="仿宋_GB2312" w:hAnsi="仿宋_GB2312" w:eastAsia="仿宋_GB2312" w:cs="仿宋_GB2312"/>
                <w:color w:val="auto"/>
                <w:sz w:val="24"/>
                <w:lang w:val="en-US" w:eastAsia="zh-CN"/>
              </w:rPr>
              <w:t>设计</w:t>
            </w:r>
            <w:r>
              <w:rPr>
                <w:rFonts w:hint="default" w:ascii="仿宋_GB2312" w:hAnsi="仿宋_GB2312" w:eastAsia="仿宋_GB2312" w:cs="仿宋_GB2312"/>
                <w:color w:val="auto"/>
                <w:sz w:val="24"/>
                <w:lang w:eastAsia="zh-CN"/>
              </w:rPr>
              <w:t>说明书</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并根据适配开发特点</w:t>
            </w:r>
            <w:r>
              <w:rPr>
                <w:rFonts w:hint="eastAsia" w:ascii="仿宋_GB2312" w:hAnsi="仿宋_GB2312" w:eastAsia="仿宋_GB2312" w:cs="仿宋_GB2312"/>
                <w:color w:val="auto"/>
                <w:sz w:val="24"/>
                <w:highlight w:val="none"/>
                <w:lang w:val="en-US" w:eastAsia="zh-CN"/>
              </w:rPr>
              <w:t>制定面向</w:t>
            </w:r>
            <w:r>
              <w:rPr>
                <w:rFonts w:hint="eastAsia" w:ascii="仿宋_GB2312" w:hAnsi="仿宋_GB2312" w:eastAsia="仿宋_GB2312" w:cs="仿宋_GB2312"/>
                <w:color w:val="auto"/>
                <w:sz w:val="24"/>
                <w:lang w:val="en-US" w:eastAsia="zh-CN"/>
              </w:rPr>
              <w:t>信息技术应用创新</w:t>
            </w:r>
            <w:r>
              <w:rPr>
                <w:rFonts w:hint="eastAsia" w:ascii="仿宋_GB2312" w:hAnsi="仿宋_GB2312" w:eastAsia="仿宋_GB2312" w:cs="仿宋_GB2312"/>
                <w:color w:val="auto"/>
                <w:sz w:val="24"/>
                <w:highlight w:val="none"/>
                <w:lang w:val="en-US" w:eastAsia="zh-CN"/>
              </w:rPr>
              <w:t>的开发工艺。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066" w:type="dxa"/>
            <w:tcBorders>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hanging="454" w:firstLineChars="0"/>
              <w:jc w:val="center"/>
              <w:textAlignment w:val="auto"/>
              <w:rPr>
                <w:rFonts w:hint="default" w:ascii="Times New Roman" w:hAnsi="Times New Roman" w:eastAsia="仿宋_GB2312" w:cs="Times New Roman"/>
                <w:color w:val="auto"/>
                <w:sz w:val="24"/>
              </w:rPr>
            </w:pPr>
          </w:p>
        </w:tc>
        <w:tc>
          <w:tcPr>
            <w:tcW w:w="1524"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开  发</w:t>
            </w:r>
          </w:p>
        </w:tc>
        <w:tc>
          <w:tcPr>
            <w:tcW w:w="6768"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根据概要设计和详细设计按计划完成开发，实现设计功能</w:t>
            </w:r>
            <w:r>
              <w:rPr>
                <w:rFonts w:hint="default"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完成单元测试等工作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066" w:type="dxa"/>
            <w:tcBorders>
              <w:top w:val="single" w:color="auto" w:sz="4" w:space="0"/>
              <w:left w:val="single" w:color="auto" w:sz="4" w:space="0"/>
              <w:right w:val="single" w:color="auto" w:sz="4" w:space="0"/>
            </w:tcBorders>
            <w:noWrap w:val="0"/>
            <w:vAlign w:val="center"/>
          </w:tcPr>
          <w:p>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hanging="454" w:firstLineChars="0"/>
              <w:jc w:val="center"/>
              <w:textAlignment w:val="auto"/>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测  试</w:t>
            </w:r>
          </w:p>
        </w:tc>
        <w:tc>
          <w:tcPr>
            <w:tcW w:w="676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开展产品、系统集成等测试工作，包括测试计划、准备和执行，完成测试案例、脚本及数据的编制和准备，及时组织系统修补和必要的回归测试，形成测试报告；协助开展用户验收测试相关工作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066" w:type="dxa"/>
            <w:tcBorders>
              <w:top w:val="single" w:color="auto" w:sz="4" w:space="0"/>
              <w:left w:val="single" w:color="auto" w:sz="4" w:space="0"/>
              <w:right w:val="single" w:color="auto" w:sz="4" w:space="0"/>
            </w:tcBorders>
            <w:noWrap w:val="0"/>
            <w:vAlign w:val="center"/>
          </w:tcPr>
          <w:p>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hanging="454" w:firstLineChars="0"/>
              <w:jc w:val="center"/>
              <w:textAlignment w:val="auto"/>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投产支持</w:t>
            </w:r>
          </w:p>
        </w:tc>
        <w:tc>
          <w:tcPr>
            <w:tcW w:w="676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为系统投产提供必要支持，包括但不限于按计划参与投产演练；提供投产操作手册、应急方案等必要投产文档；提供数据迁移方案和支持服务；根据投产内容调整用户手册、运维手册、应急预案等相关文档；提供投产日技术支持；提供投产总结支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066" w:type="dxa"/>
            <w:tcBorders>
              <w:top w:val="single" w:color="auto" w:sz="4" w:space="0"/>
              <w:left w:val="single" w:color="auto" w:sz="4" w:space="0"/>
              <w:right w:val="single" w:color="auto" w:sz="4" w:space="0"/>
            </w:tcBorders>
            <w:noWrap w:val="0"/>
            <w:vAlign w:val="center"/>
          </w:tcPr>
          <w:p>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hanging="454" w:firstLineChars="0"/>
              <w:jc w:val="center"/>
              <w:textAlignment w:val="auto"/>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运维支持</w:t>
            </w:r>
          </w:p>
        </w:tc>
        <w:tc>
          <w:tcPr>
            <w:tcW w:w="676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宋体"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为系统运维提供必要支持，满足采购人运维管理要求；开展对现场人员支持及运维培训等工作。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066" w:type="dxa"/>
            <w:tcBorders>
              <w:top w:val="single" w:color="auto" w:sz="4" w:space="0"/>
              <w:left w:val="single" w:color="auto" w:sz="4" w:space="0"/>
              <w:right w:val="single" w:color="auto" w:sz="4" w:space="0"/>
            </w:tcBorders>
            <w:noWrap w:val="0"/>
            <w:vAlign w:val="center"/>
          </w:tcPr>
          <w:p>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hanging="454" w:firstLineChars="0"/>
              <w:jc w:val="center"/>
              <w:textAlignment w:val="auto"/>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培  训</w:t>
            </w:r>
          </w:p>
        </w:tc>
        <w:tc>
          <w:tcPr>
            <w:tcW w:w="676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auto"/>
                <w:sz w:val="24"/>
                <w:lang w:val="en-US" w:eastAsia="zh-CN"/>
              </w:rPr>
              <w:t>通过必要培训使采购人相关人员熟悉系统内容和功能，以及使用权限划分与操作方式，包括系统架构、部署运维、参数配置等内容；提供完备的培训材料。</w:t>
            </w:r>
          </w:p>
        </w:tc>
      </w:tr>
    </w:tbl>
    <w:p>
      <w:pPr>
        <w:rPr>
          <w:rFonts w:hint="eastAsia"/>
        </w:rPr>
      </w:pPr>
    </w:p>
    <w:p>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r>
        <w:rPr>
          <w:rFonts w:hint="eastAsia" w:ascii="仿宋" w:hAnsi="仿宋" w:eastAsia="仿宋" w:cs="仿宋"/>
          <w:b/>
          <w:bCs/>
          <w:sz w:val="24"/>
          <w:szCs w:val="24"/>
        </w:rPr>
        <w:t>三、业务要求</w:t>
      </w:r>
      <w:bookmarkEnd w:id="49"/>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本项目仅实施信息技术应用创新适配改造，不对系统功能、业务流程进行调整。</w:t>
      </w:r>
    </w:p>
    <w:p>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bookmarkStart w:id="50" w:name="_Toc32236"/>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技术要求</w:t>
      </w:r>
      <w:bookmarkEnd w:id="50"/>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系统改造应满足采购人提供的软硬件基础平台，要求支持主流国产产品，产品名录可参考中国信息安全测评中心发布的《安全可靠测评结果公告》，具体内容以采购人提供的内容为准。</w:t>
      </w:r>
    </w:p>
    <w:p>
      <w:pPr>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（一）数据库适配</w:t>
      </w:r>
    </w:p>
    <w:p>
      <w:pPr>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需为关系型数据库，不采用开源软件，要求适配包括但不限于goldenDB、达梦、TDSql及GaussDB/openGauss等国内主流数据库软件。完成数据库适配改造，包括库表结构DDL改造、SQL语句调整、映射替换、重构SQL语句、重构存储过程改造等工作。</w:t>
      </w:r>
    </w:p>
    <w:p>
      <w:pPr>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（二）中间件适配</w:t>
      </w:r>
    </w:p>
    <w:p>
      <w:pPr>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完成国产中间件适配改造，要求适配包括但不限于东方通、宝蓝德等国内主流中间件软件。</w:t>
      </w:r>
    </w:p>
    <w:p>
      <w:pPr>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（三）浏览器适配</w:t>
      </w:r>
    </w:p>
    <w:p>
      <w:pPr>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要求兼容但不限于奇安信安全浏览器个人版和360安全浏览器个人版，同时需支持Windows操作系统终端的Chrome浏览器等。</w:t>
      </w:r>
    </w:p>
    <w:p>
      <w:pPr>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（四）硬件及操作系统</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服务器：包括但不限于基于鲲鹏</w:t>
      </w:r>
      <w:r>
        <w:rPr>
          <w:rFonts w:hint="eastAsia" w:ascii="仿宋" w:hAnsi="仿宋" w:eastAsia="仿宋" w:cs="仿宋"/>
          <w:sz w:val="24"/>
          <w:szCs w:val="24"/>
          <w:lang w:val="en-US" w:eastAsia="zh-CN"/>
        </w:rPr>
        <w:t>ARM、海光X86等架构的硬件产品；</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桌面终端：包括但不限于飞腾和兆芯CPU等架构终端。</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服务器操作系统：包括但不限于麒麟KYLIN Linux Advanced Server V10或统信UOS V20。</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桌面操作系统：包括但不限于银河麒麟桌面操作系统 V10 SP1 2203及以上版本和统信桌面操作系统 V20 专业版1050及以上版本。</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（五）信息技术应用创新软硬件版本以入场后采购人实际情况为准。</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（六）数据迁移</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完成数据迁移方案制定、工具开发、数据迁移等工作。</w:t>
      </w:r>
    </w:p>
    <w:p>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bookmarkStart w:id="51" w:name="_Toc22237"/>
      <w:r>
        <w:rPr>
          <w:rFonts w:hint="eastAsia" w:ascii="仿宋" w:hAnsi="仿宋" w:eastAsia="仿宋" w:cs="仿宋"/>
          <w:b/>
          <w:bCs/>
          <w:sz w:val="24"/>
          <w:szCs w:val="24"/>
        </w:rPr>
        <w:t>五、</w:t>
      </w:r>
      <w:r>
        <w:rPr>
          <w:rFonts w:hint="eastAsia" w:ascii="仿宋" w:hAnsi="仿宋" w:eastAsia="仿宋" w:cs="仿宋"/>
          <w:b/>
          <w:bCs/>
          <w:sz w:val="24"/>
          <w:szCs w:val="24"/>
          <w:lang w:val="en-US"/>
        </w:rPr>
        <w:t>服务</w:t>
      </w:r>
      <w:r>
        <w:rPr>
          <w:rFonts w:hint="eastAsia" w:ascii="仿宋" w:hAnsi="仿宋" w:eastAsia="仿宋" w:cs="仿宋"/>
          <w:b/>
          <w:bCs/>
          <w:sz w:val="24"/>
          <w:szCs w:val="24"/>
        </w:rPr>
        <w:t>要求</w:t>
      </w:r>
      <w:bookmarkEnd w:id="51"/>
    </w:p>
    <w:p>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服务要求</w:t>
      </w:r>
    </w:p>
    <w:p>
      <w:pPr>
        <w:pStyle w:val="7"/>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供应商应确保</w:t>
      </w:r>
      <w:r>
        <w:rPr>
          <w:rFonts w:hint="eastAsia" w:ascii="仿宋" w:hAnsi="仿宋" w:eastAsia="仿宋" w:cs="仿宋"/>
          <w:sz w:val="24"/>
          <w:szCs w:val="24"/>
          <w:lang w:eastAsia="zh-CN"/>
        </w:rPr>
        <w:t>采购人</w:t>
      </w:r>
      <w:r>
        <w:rPr>
          <w:rFonts w:hint="eastAsia" w:ascii="仿宋" w:hAnsi="仿宋" w:eastAsia="仿宋" w:cs="仿宋"/>
          <w:sz w:val="24"/>
          <w:szCs w:val="24"/>
        </w:rPr>
        <w:t>享有对核心产品软件系统拥有永久的、不可撤销的、不可转让的修改权、复制权及其他使用权，以及对客户化软件及核心产品软件系统中客户化部分的全部知识产权。为实现上述目的，供应商应向</w:t>
      </w:r>
      <w:r>
        <w:rPr>
          <w:rFonts w:hint="eastAsia" w:ascii="仿宋" w:hAnsi="仿宋" w:eastAsia="仿宋" w:cs="仿宋"/>
          <w:sz w:val="24"/>
          <w:szCs w:val="24"/>
          <w:lang w:eastAsia="zh-CN"/>
        </w:rPr>
        <w:t>采购人</w:t>
      </w:r>
      <w:r>
        <w:rPr>
          <w:rFonts w:hint="eastAsia" w:ascii="仿宋" w:hAnsi="仿宋" w:eastAsia="仿宋" w:cs="仿宋"/>
          <w:sz w:val="24"/>
          <w:szCs w:val="24"/>
        </w:rPr>
        <w:t>提供客户化软件及核心产品系统中客户化部分的目标程序及源代码。源代码提供方式双方协商确定。</w:t>
      </w:r>
    </w:p>
    <w:p>
      <w:pPr>
        <w:pStyle w:val="7"/>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保证能够满足项目实施全生命周期中对开发、测试的要求，并支持通过开发实现对未来业务和技术功能的扩展。</w:t>
      </w:r>
    </w:p>
    <w:p>
      <w:pPr>
        <w:pStyle w:val="7"/>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为项目配备具有相关资质、技能和经验的技术服务人员，提供所需的信息技术服务。在人员供给方面，应高效及时提供满足</w:t>
      </w:r>
      <w:r>
        <w:rPr>
          <w:rFonts w:hint="eastAsia" w:ascii="仿宋" w:hAnsi="仿宋" w:eastAsia="仿宋" w:cs="仿宋"/>
          <w:sz w:val="24"/>
          <w:szCs w:val="24"/>
          <w:lang w:eastAsia="zh-CN"/>
        </w:rPr>
        <w:t>采购人</w:t>
      </w:r>
      <w:r>
        <w:rPr>
          <w:rFonts w:hint="eastAsia" w:ascii="仿宋" w:hAnsi="仿宋" w:eastAsia="仿宋" w:cs="仿宋"/>
          <w:sz w:val="24"/>
          <w:szCs w:val="24"/>
        </w:rPr>
        <w:t>要求的高质量人力资源，并且公司应该具备此类人力资源的储备，保证满足</w:t>
      </w:r>
      <w:r>
        <w:rPr>
          <w:rFonts w:hint="eastAsia" w:ascii="仿宋" w:hAnsi="仿宋" w:eastAsia="仿宋" w:cs="仿宋"/>
          <w:sz w:val="24"/>
          <w:szCs w:val="24"/>
          <w:lang w:eastAsia="zh-CN"/>
        </w:rPr>
        <w:t>采购人</w:t>
      </w:r>
      <w:r>
        <w:rPr>
          <w:rFonts w:hint="eastAsia" w:ascii="仿宋" w:hAnsi="仿宋" w:eastAsia="仿宋" w:cs="仿宋"/>
          <w:sz w:val="24"/>
          <w:szCs w:val="24"/>
        </w:rPr>
        <w:t>各项业务需求的开发质量及时间要求。在人员稳定性方面，应有效保障服务队伍的稳定性，以确保服务质量。在人员培训方面，应定期对服务人员进行内部培训，以使人员不断补充提高服务技能。</w:t>
      </w:r>
    </w:p>
    <w:p>
      <w:pPr>
        <w:pStyle w:val="7"/>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供应商通过电话、电子邮件、传真等可能必要方式向</w:t>
      </w:r>
      <w:r>
        <w:rPr>
          <w:rFonts w:hint="eastAsia" w:ascii="仿宋" w:hAnsi="仿宋" w:eastAsia="仿宋" w:cs="仿宋"/>
          <w:sz w:val="24"/>
          <w:szCs w:val="24"/>
          <w:lang w:eastAsia="zh-CN"/>
        </w:rPr>
        <w:t>采购人</w:t>
      </w:r>
      <w:r>
        <w:rPr>
          <w:rFonts w:hint="eastAsia" w:ascii="仿宋" w:hAnsi="仿宋" w:eastAsia="仿宋" w:cs="仿宋"/>
          <w:sz w:val="24"/>
          <w:szCs w:val="24"/>
        </w:rPr>
        <w:t>提供远程技术支持，及时响应</w:t>
      </w:r>
      <w:r>
        <w:rPr>
          <w:rFonts w:hint="eastAsia" w:ascii="仿宋" w:hAnsi="仿宋" w:eastAsia="仿宋" w:cs="仿宋"/>
          <w:sz w:val="24"/>
          <w:szCs w:val="24"/>
          <w:lang w:eastAsia="zh-CN"/>
        </w:rPr>
        <w:t>采购人</w:t>
      </w:r>
      <w:r>
        <w:rPr>
          <w:rFonts w:hint="eastAsia" w:ascii="仿宋" w:hAnsi="仿宋" w:eastAsia="仿宋" w:cs="仿宋"/>
          <w:sz w:val="24"/>
          <w:szCs w:val="24"/>
        </w:rPr>
        <w:t>服务请求，必要时协商提供人员现场服务支持。</w:t>
      </w:r>
    </w:p>
    <w:p>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主要交付物</w:t>
      </w:r>
    </w:p>
    <w:p>
      <w:pPr>
        <w:spacing w:line="360" w:lineRule="auto"/>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在项目工作书中明确交付物类型、内容及交付形式。</w:t>
      </w:r>
    </w:p>
    <w:tbl>
      <w:tblPr>
        <w:tblStyle w:val="13"/>
        <w:tblW w:w="47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7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053" w:type="pct"/>
            <w:shd w:val="clear" w:color="auto" w:fill="BEBEBE"/>
            <w:noWrap w:val="0"/>
            <w:vAlign w:val="center"/>
          </w:tcPr>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rPr>
              <w:t>过程域</w:t>
            </w:r>
          </w:p>
        </w:tc>
        <w:tc>
          <w:tcPr>
            <w:tcW w:w="3946" w:type="pct"/>
            <w:shd w:val="clear" w:color="auto" w:fill="BEBEBE"/>
            <w:noWrap w:val="0"/>
            <w:vAlign w:val="center"/>
          </w:tcPr>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rPr>
              <w:t>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restar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项目管理</w:t>
            </w:r>
          </w:p>
        </w:tc>
        <w:tc>
          <w:tcPr>
            <w:tcW w:w="3946" w:type="pc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《项目详细实施计划》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《项目质量审计报告》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《关键人员简历》</w:t>
            </w:r>
            <w:r>
              <w:rPr>
                <w:rFonts w:hint="eastAsia" w:ascii="仿宋_GB2312" w:hAnsi="仿宋_GB2312" w:eastAsia="仿宋_GB2312" w:cs="仿宋_GB231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《关键人员人力资源变动报告》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项目状态报告：日常管理采用周报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noWrap w:val="0"/>
            <w:vAlign w:val="center"/>
          </w:tcPr>
          <w:p>
            <w:pP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lang w:val="en-US" w:eastAsia="zh-CN"/>
              </w:rPr>
              <w:t>架构管理</w:t>
            </w:r>
          </w:p>
        </w:tc>
        <w:tc>
          <w:tcPr>
            <w:tcW w:w="3946" w:type="pct"/>
            <w:noWrap w:val="0"/>
            <w:vAlign w:val="top"/>
          </w:tcPr>
          <w:p>
            <w:pP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lang w:val="en-US" w:eastAsia="zh-CN"/>
              </w:rPr>
              <w:t>项目架构方案说明书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restar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需求分析</w:t>
            </w: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《功能需求规格说明书》</w:t>
            </w:r>
            <w:r>
              <w:rPr>
                <w:rFonts w:hint="eastAsia" w:ascii="仿宋_GB2312" w:hAnsi="仿宋_GB2312" w:eastAsia="仿宋_GB2312" w:cs="仿宋_GB231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《非功能需求规格说明书》（如有）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053" w:type="pct"/>
            <w:vMerge w:val="restar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设计</w:t>
            </w: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lang w:val="en-US" w:eastAsia="zh-CN"/>
              </w:rPr>
              <w:t>信息技术应用创新改造方案（如有）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《概要设计说明书》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《详细设计说明书》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应用系统部署架构（如有）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基础软硬件配置清单（如有）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restar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开发</w:t>
            </w: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《单元测试案例》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《系统内集成测试案例》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《系统内集成测试报告》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restar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测试</w:t>
            </w: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《应用组装测试案例》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《应用组装测试报告》</w:t>
            </w:r>
            <w:r>
              <w:rPr>
                <w:rFonts w:hint="eastAsia" w:ascii="仿宋_GB2312" w:hAnsi="仿宋_GB2312" w:eastAsia="仿宋_GB2312" w:cs="仿宋_GB231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通过用户验收测试后的源代码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restar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业务培训</w:t>
            </w: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《培训讲义》（如有）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《用户操作手册》（如有）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技术培训</w:t>
            </w: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《培训讲义》（如有）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restar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系统投产</w:t>
            </w: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《投产任务跟踪表》（按版本）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《操作控制表》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待投产的应用程序版本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《应急预案》（如有）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《投产报告》（按版本）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《运维手册》、《日志报错代码表》、《批量手册》、《监控手册》、《知识库》（如有）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restart"/>
            <w:noWrap w:val="0"/>
            <w:vAlign w:val="center"/>
          </w:tcPr>
          <w:p>
            <w:pPr>
              <w:spacing w:line="240" w:lineRule="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保修期</w:t>
            </w: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知识转移文档：《运维手册》（含《日志存储备份清理方案》等日常运维的必要件）、《日志报错代码表》、《批量手册》、《监控手册》（如有）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知识库（包含《上线运行问题报告和问题跟踪表》、《重大问题分析报告》（如有））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保修期</w:t>
            </w:r>
            <w:r>
              <w:rPr>
                <w:rFonts w:hint="eastAsia" w:ascii="仿宋_GB2312" w:hAnsi="仿宋_GB2312" w:eastAsia="仿宋_GB2312" w:cs="仿宋_GB2312"/>
              </w:rPr>
              <w:t>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《月度</w:t>
            </w:r>
            <w:r>
              <w:rPr>
                <w:rFonts w:hint="eastAsia" w:ascii="仿宋_GB2312" w:hAnsi="仿宋_GB2312" w:eastAsia="仿宋_GB2312" w:cs="仿宋_GB2312"/>
                <w:lang w:val="en-US" w:eastAsia="zh-CN"/>
              </w:rPr>
              <w:t>保修情况</w:t>
            </w:r>
            <w:r>
              <w:rPr>
                <w:rFonts w:hint="eastAsia" w:ascii="仿宋_GB2312" w:hAnsi="仿宋_GB2312" w:eastAsia="仿宋_GB2312" w:cs="仿宋_GB2312"/>
              </w:rPr>
              <w:t>报告》</w:t>
            </w:r>
          </w:p>
        </w:tc>
      </w:tr>
    </w:tbl>
    <w:p>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val="en-US"/>
        </w:rPr>
        <w:t>六、项目团队要求</w:t>
      </w:r>
    </w:p>
    <w:p>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熟悉采购人联合开发系统实施现状，具有项目系统相关实施经验；具备完成服务范围内各项工作的能力；团队中关键核心岗位人员（如项目经理）不得外包。</w:t>
      </w:r>
    </w:p>
    <w:p>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1.项目经理、关键技术人员应具有服务同类项目和系统的工作经验，提供人员简历。如发生更换，对替代人员的工作经验要求相同。</w:t>
      </w:r>
    </w:p>
    <w:p>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承诺已进入项目组的关键核心岗位人员不得随意更换。如确实需要更换人员须经过采购人审核通过后方可换人。同时要求新换人员必须通过采购人的审核，且由供应商保证人员更换期间工作的连续性。其他岗位人员如有更换需书面告知采购人，并承诺不因此降低服务质量。</w:t>
      </w:r>
    </w:p>
    <w:p>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3.承诺进入现场服务人员，要提供人员简历、学历证明复印件及人员相关认证资质复印件，签署安全保密承诺书，并满足采购人管理要求：</w:t>
      </w:r>
    </w:p>
    <w:p>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（1）服务人员必须遵守采购人作息制度和相关工作制度规定，提供5*8小时驻场服务。</w:t>
      </w:r>
    </w:p>
    <w:p>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（2）服务期间，所有服务人员必须严格按照采购人各项规章制度合规开展工作；驻场服务地点双方协商确定。</w:t>
      </w:r>
    </w:p>
    <w:p>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（3）服务人员不得随意更换。如果更换人员则供应商应提前1个月通知采购人，并经过采购人审核通过后方可换人。同时要求新换人员必须通过采购人的审核，且由供应商保证人员更换期间支持工作的连续性；</w:t>
      </w:r>
    </w:p>
    <w:p>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（4）如果服务人员因违反采购人工作纪律或相关运行制度，并给采购人造成了损失，则供应商有责任进行赔偿，具体赔偿标准见合同。</w:t>
      </w:r>
    </w:p>
    <w:p>
      <w:pPr>
        <w:pStyle w:val="6"/>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（5）根据支持效果，对于不能够胜任工作的人员，采购人有权利要求供应商重新进行调换。同时由供应商保证人员更换期间支持工作的连续性。</w:t>
      </w:r>
    </w:p>
    <w:p>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lang w:val="en-US"/>
        </w:rPr>
        <w:t>、安全要求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在未征得采购人同意的情况下，供应商供应商必须保证所提供的人员能够严格遵守各项规章制度，主要包括但不限于以下内容：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（一）法律合规方面，应有效规避实施过程中给采购人带来的法律风险。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（二）信息安全方面，应有效规避因服务人员导致的银行信息（如业务数据和商务信息等）泄漏风险。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（三）生产安全方面，应严格规避因人员操作不当，导致的银行系统出现安全性和稳定性风险事件。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（四）安全审计方面，应确保针对银行设备的相关操作留有纸质或视频记录。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五）保密要求方面，供应商对项目实施中涉及到的相关数据、资料、文档等具有保密的义务，并应按照相应保密规定执行。本项目所形成的数据成果归采购人所有。未经采购人同意，供应商不得向第三方泄露、公开或用于提供法律服务之外的其他目的，对掌握的采购人、采购人客户的资料，供应商应采取措施与其他客户资料施行有效隔离。</w:t>
      </w:r>
    </w:p>
    <w:p>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lang w:val="en-US"/>
        </w:rPr>
        <w:t>、交付或实施时间、地点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（一）项目周期</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合同签署至项目验收后12个月。</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（二）服务地点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中国进出口银行信息科技部（北京或其他双方约定地点）。</w:t>
      </w:r>
    </w:p>
    <w:p>
      <w:pPr>
        <w:pStyle w:val="10"/>
        <w:numPr>
          <w:ilvl w:val="0"/>
          <w:numId w:val="2"/>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财务支付要求</w:t>
      </w:r>
    </w:p>
    <w:tbl>
      <w:tblPr>
        <w:tblStyle w:val="13"/>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281"/>
        <w:gridCol w:w="4296"/>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70" w:type="dxa"/>
            <w:noWrap w:val="0"/>
            <w:vAlign w:val="center"/>
          </w:tcPr>
          <w:p>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序号</w:t>
            </w:r>
          </w:p>
        </w:tc>
        <w:tc>
          <w:tcPr>
            <w:tcW w:w="1281" w:type="dxa"/>
            <w:noWrap w:val="0"/>
            <w:vAlign w:val="center"/>
          </w:tcPr>
          <w:p>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付款节点</w:t>
            </w:r>
          </w:p>
        </w:tc>
        <w:tc>
          <w:tcPr>
            <w:tcW w:w="4296" w:type="dxa"/>
            <w:noWrap w:val="0"/>
            <w:vAlign w:val="center"/>
          </w:tcPr>
          <w:p>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付款条件</w:t>
            </w:r>
          </w:p>
        </w:tc>
        <w:tc>
          <w:tcPr>
            <w:tcW w:w="2187" w:type="dxa"/>
            <w:noWrap w:val="0"/>
            <w:vAlign w:val="center"/>
          </w:tcPr>
          <w:p>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付款比例(或金额)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70" w:type="dxa"/>
            <w:noWrap w:val="0"/>
            <w:vAlign w:val="center"/>
          </w:tcPr>
          <w:p>
            <w:pPr>
              <w:pageBreakBefore w:val="0"/>
              <w:kinsoku/>
              <w:overflowPunct/>
              <w:topLinePunct w:val="0"/>
              <w:autoSpaceDE/>
              <w:autoSpaceDN/>
              <w:bidi w:val="0"/>
              <w:snapToGrid/>
              <w:spacing w:beforeLines="0" w:afterLines="0" w:line="560" w:lineRule="exact"/>
              <w:ind w:firstLine="0" w:firstLineChars="0"/>
              <w:jc w:val="center"/>
              <w:rPr>
                <w:rFonts w:eastAsia="仿宋_GB2312"/>
                <w:color w:val="auto"/>
                <w:sz w:val="24"/>
                <w:szCs w:val="22"/>
              </w:rPr>
            </w:pPr>
            <w:r>
              <w:rPr>
                <w:rFonts w:hAnsi="楷体" w:eastAsia="仿宋_GB2312"/>
                <w:color w:val="auto"/>
                <w:sz w:val="24"/>
                <w:szCs w:val="22"/>
              </w:rPr>
              <w:t>１</w:t>
            </w:r>
          </w:p>
        </w:tc>
        <w:tc>
          <w:tcPr>
            <w:tcW w:w="1281" w:type="dxa"/>
            <w:noWrap w:val="0"/>
            <w:vAlign w:val="center"/>
          </w:tcPr>
          <w:p>
            <w:pPr>
              <w:pageBreakBefore w:val="0"/>
              <w:kinsoku/>
              <w:overflowPunct/>
              <w:topLinePunct w:val="0"/>
              <w:autoSpaceDE/>
              <w:autoSpaceDN/>
              <w:bidi w:val="0"/>
              <w:snapToGrid/>
              <w:spacing w:beforeLines="0" w:afterLines="0" w:line="560" w:lineRule="exact"/>
              <w:ind w:firstLine="0" w:firstLineChars="0"/>
              <w:jc w:val="center"/>
              <w:rPr>
                <w:rFonts w:hAnsi="楷体" w:eastAsia="仿宋_GB2312"/>
                <w:color w:val="auto"/>
                <w:sz w:val="24"/>
                <w:szCs w:val="22"/>
              </w:rPr>
            </w:pPr>
            <w:r>
              <w:rPr>
                <w:rFonts w:hAnsi="楷体" w:eastAsia="仿宋_GB2312"/>
                <w:color w:val="auto"/>
                <w:sz w:val="24"/>
                <w:szCs w:val="22"/>
              </w:rPr>
              <w:t>首付款</w:t>
            </w:r>
          </w:p>
        </w:tc>
        <w:tc>
          <w:tcPr>
            <w:tcW w:w="429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hAnsi="楷体" w:eastAsia="仿宋_GB2312"/>
                <w:color w:val="auto"/>
                <w:sz w:val="24"/>
                <w:szCs w:val="22"/>
                <w:lang w:val="en-US" w:eastAsia="zh-CN"/>
              </w:rPr>
            </w:pPr>
            <w:r>
              <w:rPr>
                <w:rFonts w:hint="eastAsia" w:hAnsi="楷体" w:eastAsia="仿宋_GB2312" w:cs="Times New Roman"/>
                <w:color w:val="auto"/>
                <w:kern w:val="2"/>
                <w:sz w:val="24"/>
                <w:szCs w:val="22"/>
                <w:lang w:val="en-US" w:eastAsia="zh-CN"/>
              </w:rPr>
              <w:t>合同签署</w:t>
            </w:r>
            <w:r>
              <w:rPr>
                <w:rFonts w:hint="default" w:ascii="Times New Roman" w:hAnsi="楷体" w:eastAsia="仿宋_GB2312" w:cs="Times New Roman"/>
                <w:color w:val="auto"/>
                <w:kern w:val="2"/>
                <w:sz w:val="24"/>
                <w:szCs w:val="22"/>
              </w:rPr>
              <w:t>后，采购人在收到乙方出具的付款申请及相应金额经采购人认可的合法有效发票之日起</w:t>
            </w:r>
            <w:r>
              <w:rPr>
                <w:rFonts w:hint="eastAsia" w:hAnsi="楷体" w:eastAsia="仿宋_GB2312" w:cs="Times New Roman"/>
                <w:color w:val="auto"/>
                <w:kern w:val="2"/>
                <w:sz w:val="24"/>
                <w:szCs w:val="22"/>
                <w:lang w:val="en-US" w:eastAsia="zh-CN"/>
              </w:rPr>
              <w:t>20个工作</w:t>
            </w:r>
            <w:r>
              <w:rPr>
                <w:rFonts w:hint="default" w:ascii="Times New Roman" w:hAnsi="楷体" w:eastAsia="仿宋_GB2312" w:cs="Times New Roman"/>
                <w:color w:val="auto"/>
                <w:kern w:val="2"/>
                <w:sz w:val="24"/>
                <w:szCs w:val="22"/>
              </w:rPr>
              <w:t>日内</w:t>
            </w: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Ansi="楷体" w:eastAsia="仿宋_GB2312"/>
                <w:color w:val="auto"/>
                <w:sz w:val="24"/>
                <w:szCs w:val="22"/>
              </w:rPr>
            </w:pPr>
            <w:r>
              <w:rPr>
                <w:rFonts w:hint="eastAsia" w:hAnsi="楷体" w:eastAsia="仿宋_GB2312" w:cs="Times New Roman"/>
                <w:color w:val="auto"/>
                <w:sz w:val="24"/>
                <w:szCs w:val="22"/>
                <w:lang w:val="en-US" w:eastAsia="zh-CN"/>
              </w:rPr>
              <w:t>付款至</w:t>
            </w:r>
            <w:r>
              <w:rPr>
                <w:rFonts w:hint="default" w:ascii="Times New Roman" w:hAnsi="楷体" w:eastAsia="仿宋_GB2312" w:cs="Times New Roman"/>
                <w:color w:val="auto"/>
                <w:sz w:val="24"/>
                <w:szCs w:val="22"/>
                <w:lang w:val="en-US" w:eastAsia="zh-CN"/>
              </w:rPr>
              <w:t>合同金额的</w:t>
            </w:r>
            <w:r>
              <w:rPr>
                <w:rFonts w:hint="eastAsia" w:hAnsi="楷体" w:eastAsia="仿宋_GB2312" w:cs="Times New Roman"/>
                <w:color w:val="auto"/>
                <w:sz w:val="24"/>
                <w:szCs w:val="22"/>
                <w:lang w:val="en-US" w:eastAsia="zh-CN"/>
              </w:rPr>
              <w:t>50</w:t>
            </w:r>
            <w:r>
              <w:rPr>
                <w:rFonts w:hint="default" w:ascii="Times New Roman" w:hAnsi="楷体" w:eastAsia="仿宋_GB2312" w:cs="Times New Roman"/>
                <w:color w:val="auto"/>
                <w:sz w:val="24"/>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70" w:type="dxa"/>
            <w:noWrap w:val="0"/>
            <w:vAlign w:val="center"/>
          </w:tcPr>
          <w:p>
            <w:pPr>
              <w:pageBreakBefore w:val="0"/>
              <w:kinsoku/>
              <w:overflowPunct/>
              <w:topLinePunct w:val="0"/>
              <w:autoSpaceDE/>
              <w:autoSpaceDN/>
              <w:bidi w:val="0"/>
              <w:snapToGrid/>
              <w:spacing w:beforeLines="0" w:afterLines="0" w:line="560" w:lineRule="exact"/>
              <w:ind w:firstLine="0" w:firstLineChars="0"/>
              <w:jc w:val="center"/>
              <w:rPr>
                <w:rFonts w:hAnsi="楷体" w:eastAsia="仿宋_GB2312"/>
                <w:color w:val="auto"/>
                <w:sz w:val="24"/>
                <w:szCs w:val="22"/>
              </w:rPr>
            </w:pPr>
            <w:r>
              <w:rPr>
                <w:rFonts w:eastAsia="仿宋_GB2312"/>
                <w:color w:val="auto"/>
                <w:sz w:val="24"/>
                <w:szCs w:val="22"/>
              </w:rPr>
              <w:t>2</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0" w:firstLineChars="0"/>
              <w:jc w:val="center"/>
              <w:textAlignment w:val="auto"/>
              <w:rPr>
                <w:rFonts w:hint="default" w:hAnsi="楷体" w:eastAsia="仿宋_GB2312"/>
                <w:color w:val="auto"/>
                <w:sz w:val="24"/>
                <w:szCs w:val="22"/>
                <w:lang w:val="en-US" w:eastAsia="zh-CN"/>
              </w:rPr>
            </w:pPr>
            <w:r>
              <w:rPr>
                <w:rFonts w:hint="eastAsia" w:hAnsi="楷体" w:eastAsia="仿宋_GB2312"/>
                <w:color w:val="auto"/>
                <w:sz w:val="24"/>
                <w:szCs w:val="22"/>
                <w:lang w:val="en-US" w:eastAsia="zh-CN"/>
              </w:rPr>
              <w:t>验收款</w:t>
            </w:r>
          </w:p>
        </w:tc>
        <w:tc>
          <w:tcPr>
            <w:tcW w:w="429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w:hAnsi="楷体" w:eastAsia="仿宋_GB2312" w:cs="Times New Roman"/>
                <w:color w:val="auto"/>
                <w:kern w:val="2"/>
                <w:sz w:val="24"/>
                <w:szCs w:val="22"/>
                <w:lang w:val="en-US"/>
              </w:rPr>
            </w:pPr>
            <w:r>
              <w:rPr>
                <w:rFonts w:hint="default" w:ascii="Times New Roman" w:hAnsi="楷体" w:eastAsia="仿宋_GB2312" w:cs="Times New Roman"/>
                <w:color w:val="auto"/>
                <w:kern w:val="2"/>
                <w:sz w:val="24"/>
                <w:szCs w:val="22"/>
                <w:lang w:val="en-US" w:eastAsia="zh-CN"/>
              </w:rPr>
              <w:t>系统通过</w:t>
            </w:r>
            <w:r>
              <w:rPr>
                <w:rFonts w:hint="eastAsia" w:hAnsi="楷体" w:eastAsia="仿宋_GB2312" w:cs="Times New Roman"/>
                <w:color w:val="auto"/>
                <w:kern w:val="2"/>
                <w:sz w:val="24"/>
                <w:szCs w:val="22"/>
                <w:lang w:val="en-US" w:eastAsia="zh-CN"/>
              </w:rPr>
              <w:t>采购人</w:t>
            </w:r>
            <w:r>
              <w:rPr>
                <w:rFonts w:hint="default" w:ascii="Times New Roman" w:hAnsi="楷体" w:eastAsia="仿宋_GB2312" w:cs="Times New Roman"/>
                <w:color w:val="auto"/>
                <w:kern w:val="2"/>
                <w:sz w:val="24"/>
                <w:szCs w:val="22"/>
                <w:lang w:val="en-US" w:eastAsia="zh-CN"/>
              </w:rPr>
              <w:t>验收后，采购人自收到乙方出具的付款申请及相应金额经采购人认可的合法有效发票之日起20个工作日内</w:t>
            </w: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eastAsia" w:hAnsi="楷体" w:eastAsia="仿宋_GB2312" w:cs="Times New Roman"/>
                <w:color w:val="auto"/>
                <w:sz w:val="24"/>
                <w:szCs w:val="22"/>
                <w:lang w:val="en-US" w:eastAsia="zh-CN"/>
              </w:rPr>
            </w:pPr>
            <w:r>
              <w:rPr>
                <w:rFonts w:hint="eastAsia" w:hAnsi="楷体" w:eastAsia="仿宋_GB2312" w:cs="Times New Roman"/>
                <w:color w:val="auto"/>
                <w:sz w:val="24"/>
                <w:szCs w:val="22"/>
                <w:lang w:val="en-US" w:eastAsia="zh-CN"/>
              </w:rPr>
              <w:t>付款至</w:t>
            </w:r>
            <w:r>
              <w:rPr>
                <w:rFonts w:hint="default" w:ascii="Times New Roman" w:hAnsi="楷体" w:eastAsia="仿宋_GB2312" w:cs="Times New Roman"/>
                <w:color w:val="auto"/>
                <w:sz w:val="24"/>
                <w:szCs w:val="22"/>
                <w:lang w:val="en-US" w:eastAsia="zh-CN"/>
              </w:rPr>
              <w:t>合同金额的</w:t>
            </w:r>
            <w:r>
              <w:rPr>
                <w:rFonts w:hint="eastAsia" w:hAnsi="楷体" w:eastAsia="仿宋_GB2312" w:cs="Times New Roman"/>
                <w:color w:val="auto"/>
                <w:sz w:val="24"/>
                <w:szCs w:val="22"/>
                <w:lang w:val="en-US" w:eastAsia="zh-CN"/>
              </w:rPr>
              <w:t>7</w:t>
            </w:r>
            <w:r>
              <w:rPr>
                <w:rFonts w:hint="default" w:ascii="Times New Roman" w:hAnsi="楷体" w:eastAsia="仿宋_GB2312" w:cs="Times New Roman"/>
                <w:color w:val="auto"/>
                <w:sz w:val="24"/>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1070" w:type="dxa"/>
            <w:noWrap w:val="0"/>
            <w:vAlign w:val="center"/>
          </w:tcPr>
          <w:p>
            <w:pPr>
              <w:pageBreakBefore w:val="0"/>
              <w:kinsoku/>
              <w:overflowPunct/>
              <w:topLinePunct w:val="0"/>
              <w:autoSpaceDE/>
              <w:autoSpaceDN/>
              <w:bidi w:val="0"/>
              <w:snapToGrid/>
              <w:spacing w:beforeLines="0" w:afterLines="0" w:line="560" w:lineRule="exact"/>
              <w:ind w:firstLine="0" w:firstLineChars="0"/>
              <w:jc w:val="center"/>
              <w:rPr>
                <w:rFonts w:hint="eastAsia" w:eastAsia="仿宋_GB2312"/>
                <w:color w:val="auto"/>
                <w:sz w:val="24"/>
                <w:szCs w:val="22"/>
                <w:lang w:val="en-US" w:eastAsia="zh-CN"/>
              </w:rPr>
            </w:pPr>
            <w:r>
              <w:rPr>
                <w:rFonts w:hint="eastAsia" w:eastAsia="仿宋_GB2312"/>
                <w:color w:val="auto"/>
                <w:sz w:val="24"/>
                <w:szCs w:val="22"/>
                <w:lang w:val="en-US" w:eastAsia="zh-CN"/>
              </w:rPr>
              <w:t>3</w:t>
            </w:r>
          </w:p>
        </w:tc>
        <w:tc>
          <w:tcPr>
            <w:tcW w:w="1281" w:type="dxa"/>
            <w:noWrap w:val="0"/>
            <w:vAlign w:val="center"/>
          </w:tcPr>
          <w:p>
            <w:pPr>
              <w:pageBreakBefore w:val="0"/>
              <w:kinsoku/>
              <w:overflowPunct/>
              <w:topLinePunct w:val="0"/>
              <w:autoSpaceDE/>
              <w:autoSpaceDN/>
              <w:bidi w:val="0"/>
              <w:snapToGrid/>
              <w:spacing w:beforeLines="0" w:afterLines="0" w:line="560" w:lineRule="exact"/>
              <w:ind w:firstLine="0" w:firstLineChars="0"/>
              <w:jc w:val="center"/>
              <w:rPr>
                <w:rFonts w:hint="default" w:hAnsi="楷体" w:eastAsia="仿宋_GB2312"/>
                <w:color w:val="auto"/>
                <w:sz w:val="24"/>
                <w:szCs w:val="22"/>
                <w:lang w:eastAsia="zh-CN"/>
              </w:rPr>
            </w:pPr>
            <w:r>
              <w:rPr>
                <w:rFonts w:hint="default" w:hAnsi="楷体" w:eastAsia="仿宋_GB2312"/>
                <w:color w:val="auto"/>
                <w:sz w:val="24"/>
                <w:szCs w:val="22"/>
                <w:lang w:val="en-US" w:eastAsia="zh-CN"/>
              </w:rPr>
              <w:t>尾</w:t>
            </w:r>
            <w:r>
              <w:rPr>
                <w:rFonts w:hint="eastAsia" w:hAnsi="楷体" w:eastAsia="仿宋_GB2312"/>
                <w:color w:val="auto"/>
                <w:sz w:val="24"/>
                <w:szCs w:val="22"/>
                <w:lang w:val="en-US" w:eastAsia="zh-CN"/>
              </w:rPr>
              <w:t xml:space="preserve">  </w:t>
            </w:r>
            <w:r>
              <w:rPr>
                <w:rFonts w:hint="default" w:hAnsi="楷体" w:eastAsia="仿宋_GB2312"/>
                <w:color w:val="auto"/>
                <w:sz w:val="24"/>
                <w:szCs w:val="22"/>
                <w:lang w:val="en-US" w:eastAsia="zh-CN"/>
              </w:rPr>
              <w:t>款</w:t>
            </w:r>
          </w:p>
        </w:tc>
        <w:tc>
          <w:tcPr>
            <w:tcW w:w="429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hAnsi="楷体" w:eastAsia="仿宋_GB2312"/>
                <w:color w:val="auto"/>
                <w:sz w:val="24"/>
                <w:szCs w:val="22"/>
                <w:lang w:eastAsia="zh-CN"/>
              </w:rPr>
            </w:pPr>
            <w:r>
              <w:rPr>
                <w:rFonts w:hint="eastAsia" w:hAnsi="楷体" w:eastAsia="仿宋_GB2312"/>
                <w:color w:val="auto"/>
                <w:sz w:val="24"/>
                <w:szCs w:val="22"/>
                <w:lang w:val="en-US" w:eastAsia="zh-CN"/>
              </w:rPr>
              <w:t>维护期结束，乙方提交保修期总结报告并得到采购人书面确认后，采购人在收到乙方出具的付款申请及相应金额经采购人认可的合法有效发票之日起20</w:t>
            </w:r>
            <w:r>
              <w:rPr>
                <w:rFonts w:hint="default" w:hAnsi="楷体" w:eastAsia="仿宋_GB2312"/>
                <w:color w:val="auto"/>
                <w:sz w:val="24"/>
                <w:szCs w:val="22"/>
                <w:lang w:eastAsia="zh-CN"/>
              </w:rPr>
              <w:t>个工作日内</w:t>
            </w: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Ansi="楷体" w:eastAsia="仿宋_GB2312"/>
                <w:color w:val="auto"/>
                <w:sz w:val="24"/>
                <w:szCs w:val="22"/>
              </w:rPr>
            </w:pPr>
            <w:r>
              <w:rPr>
                <w:rFonts w:hint="eastAsia" w:hAnsi="楷体" w:eastAsia="仿宋_GB2312" w:cs="Times New Roman"/>
                <w:color w:val="auto"/>
                <w:sz w:val="24"/>
                <w:szCs w:val="22"/>
                <w:lang w:val="en-US" w:eastAsia="zh-CN"/>
              </w:rPr>
              <w:t>付款至</w:t>
            </w:r>
            <w:r>
              <w:rPr>
                <w:rFonts w:hint="default" w:ascii="Times New Roman" w:hAnsi="楷体" w:eastAsia="仿宋_GB2312" w:cs="Times New Roman"/>
                <w:color w:val="auto"/>
                <w:sz w:val="24"/>
                <w:szCs w:val="22"/>
                <w:lang w:val="en-US" w:eastAsia="zh-CN"/>
              </w:rPr>
              <w:t>合同金额的</w:t>
            </w:r>
            <w:r>
              <w:rPr>
                <w:rFonts w:hint="eastAsia" w:hAnsi="楷体" w:eastAsia="仿宋_GB2312" w:cs="Times New Roman"/>
                <w:color w:val="auto"/>
                <w:sz w:val="24"/>
                <w:szCs w:val="22"/>
                <w:lang w:val="en-US" w:eastAsia="zh-CN"/>
              </w:rPr>
              <w:t>10</w:t>
            </w:r>
            <w:r>
              <w:rPr>
                <w:rFonts w:hint="default" w:ascii="Times New Roman" w:hAnsi="楷体" w:eastAsia="仿宋_GB2312" w:cs="Times New Roman"/>
                <w:color w:val="auto"/>
                <w:sz w:val="24"/>
                <w:szCs w:val="22"/>
                <w:lang w:val="en-US" w:eastAsia="zh-CN"/>
              </w:rPr>
              <w:t>0%</w:t>
            </w:r>
          </w:p>
        </w:tc>
      </w:tr>
    </w:tbl>
    <w:p>
      <w:pPr>
        <w:numPr>
          <w:ilvl w:val="0"/>
          <w:numId w:val="0"/>
        </w:numPr>
        <w:rPr>
          <w:rFonts w:hint="eastAsia"/>
          <w:lang w:val="en-US" w:eastAsia="zh-CN"/>
        </w:rPr>
      </w:pPr>
    </w:p>
    <w:p>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w:t>
      </w:r>
      <w:r>
        <w:rPr>
          <w:rFonts w:hint="eastAsia" w:ascii="仿宋" w:hAnsi="仿宋" w:eastAsia="仿宋" w:cs="仿宋"/>
          <w:b/>
          <w:bCs/>
          <w:sz w:val="24"/>
          <w:szCs w:val="24"/>
          <w:lang w:val="en-US"/>
        </w:rPr>
        <w:t>、</w:t>
      </w:r>
      <w:r>
        <w:rPr>
          <w:rFonts w:hint="eastAsia" w:ascii="仿宋" w:hAnsi="仿宋" w:eastAsia="仿宋" w:cs="仿宋"/>
          <w:b/>
          <w:bCs/>
          <w:sz w:val="24"/>
          <w:szCs w:val="24"/>
          <w:lang w:val="en-US" w:eastAsia="zh-CN"/>
        </w:rPr>
        <w:t>履约验收方案</w:t>
      </w:r>
    </w:p>
    <w:p>
      <w:pPr>
        <w:keepNext w:val="0"/>
        <w:keepLines w:val="0"/>
        <w:pageBreakBefore w:val="0"/>
        <w:kinsoku/>
        <w:wordWrap/>
        <w:overflowPunct/>
        <w:topLinePunct w:val="0"/>
        <w:autoSpaceDE/>
        <w:autoSpaceDN/>
        <w:bidi w:val="0"/>
        <w:adjustRightInd w:val="0"/>
        <w:snapToGrid/>
        <w:spacing w:beforeAutospacing="0" w:afterAutospacing="0" w:line="360" w:lineRule="auto"/>
        <w:ind w:firstLine="482" w:firstLineChars="20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履约验收的主体、时间、程序</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1.验收主体</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采购人组织验收。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2.验收时间及程序</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所有改造系统投产上线完成并稳定运行满3个月，各项功能满足验收标准，进出口银行分批组织验收。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具备验收条件后，由供应商向采购人提出验收申请，采购人收到申请后，自行或授权第三方监理依照合同及本工作说明书对其工作进行验收评估，如验收评估中发现其工作存在瑕疵、问题或遗漏，供应商须按照采购人要求限时解决，解决后采购人再次进行验收。验收通过后，采购人出具验收报告。</w:t>
      </w:r>
    </w:p>
    <w:p>
      <w:pPr>
        <w:keepNext w:val="0"/>
        <w:keepLines w:val="0"/>
        <w:pageBreakBefore w:val="0"/>
        <w:numPr>
          <w:ilvl w:val="0"/>
          <w:numId w:val="3"/>
        </w:numPr>
        <w:kinsoku/>
        <w:wordWrap/>
        <w:overflowPunct/>
        <w:topLinePunct w:val="0"/>
        <w:autoSpaceDE/>
        <w:autoSpaceDN/>
        <w:bidi w:val="0"/>
        <w:adjustRightInd w:val="0"/>
        <w:snapToGrid/>
        <w:spacing w:beforeAutospacing="0" w:afterAutospacing="0" w:line="360" w:lineRule="auto"/>
        <w:ind w:firstLine="482" w:firstLineChars="20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履约验收内容和标准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1、验收内容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（1）交付件，包括文档资料、源代码等</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（2）适配改造的物理子系统应用软件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（3）以量化的SLA考核指标为依据，对供应商服务及项目完成情况进行量化评价</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2、验收标准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（1）文档验收标准</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文档内容应包含对应工作阶段的所有工作任务的最终成果</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文档内容无重大分歧，进出口银行能够接受文档中的主要观点、认可文档中所体现的工作成果</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所有正式交付件表达清晰、内容完整，符合采购人要求。交付文档的描述不存在实质性的错误（包括不真实、遗漏、误差、以及对使用者可能产生误导的信息）；文字无重大或误导性错误</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文档交付齐备</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除特别指明的并经采购人同意的英文提交文档之外，要求提供中文文档</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提交项目全部交付件并通过采购人审核，在此基础上形成项目的《交付件交付情况一览表》，经过采购人核对认可</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（2）系统验收标准</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系统符合项目工作说明书的要求</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新增系统的安全等级保护基本要求满足国家标准和监管要求中对本系统的相应要求</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系统通过用户接收测试，若有遗留问题须在本项目最终验收启动前解决</w:t>
      </w:r>
    </w:p>
    <w:p>
      <w:pPr>
        <w:pStyle w:val="12"/>
        <w:keepNext w:val="0"/>
        <w:keepLines w:val="0"/>
        <w:pageBreakBefore w:val="0"/>
        <w:numPr>
          <w:ilvl w:val="0"/>
          <w:numId w:val="0"/>
        </w:numPr>
        <w:kinsoku/>
        <w:wordWrap/>
        <w:overflowPunct/>
        <w:topLinePunct w:val="0"/>
        <w:autoSpaceDE/>
        <w:autoSpaceDN/>
        <w:bidi w:val="0"/>
        <w:snapToGrid/>
        <w:spacing w:beforeAutospacing="0" w:after="0" w:afterAutospacing="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highlight w:val="none"/>
          <w:lang w:val="en-US" w:eastAsia="zh-CN"/>
        </w:rPr>
        <w:t>SLA指标考核</w:t>
      </w:r>
    </w:p>
    <w:p>
      <w:pPr>
        <w:pStyle w:val="16"/>
        <w:keepNext w:val="0"/>
        <w:keepLines w:val="0"/>
        <w:pageBreakBefore w:val="0"/>
        <w:widowControl/>
        <w:numPr>
          <w:ilvl w:val="0"/>
          <w:numId w:val="0"/>
        </w:numPr>
        <w:kinsoku/>
        <w:wordWrap/>
        <w:overflowPunct/>
        <w:topLinePunct w:val="0"/>
        <w:autoSpaceDE/>
        <w:autoSpaceDN/>
        <w:bidi w:val="0"/>
        <w:snapToGrid/>
        <w:spacing w:beforeAutospacing="0" w:afterLines="0" w:afterAutospacing="0" w:line="360" w:lineRule="auto"/>
        <w:ind w:left="0"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本项目发起验收时，进行SLA考核。指标项如下：</w:t>
      </w:r>
    </w:p>
    <w:tbl>
      <w:tblPr>
        <w:tblStyle w:val="14"/>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986"/>
        <w:gridCol w:w="2214"/>
        <w:gridCol w:w="4868"/>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pPr>
              <w:widowControl/>
              <w:spacing w:line="240" w:lineRule="auto"/>
              <w:jc w:val="center"/>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序号</w:t>
            </w:r>
          </w:p>
        </w:tc>
        <w:tc>
          <w:tcPr>
            <w:tcW w:w="520" w:type="pct"/>
            <w:noWrap w:val="0"/>
            <w:vAlign w:val="center"/>
          </w:tcPr>
          <w:p>
            <w:pPr>
              <w:widowControl/>
              <w:spacing w:line="240" w:lineRule="auto"/>
              <w:jc w:val="center"/>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指标名称</w:t>
            </w:r>
          </w:p>
        </w:tc>
        <w:tc>
          <w:tcPr>
            <w:tcW w:w="1168" w:type="pct"/>
            <w:noWrap w:val="0"/>
            <w:vAlign w:val="center"/>
          </w:tcPr>
          <w:p>
            <w:pPr>
              <w:widowControl/>
              <w:spacing w:line="240" w:lineRule="auto"/>
              <w:jc w:val="center"/>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量化标准</w:t>
            </w:r>
          </w:p>
        </w:tc>
        <w:tc>
          <w:tcPr>
            <w:tcW w:w="2567" w:type="pct"/>
            <w:noWrap w:val="0"/>
            <w:vAlign w:val="center"/>
          </w:tcPr>
          <w:p>
            <w:pPr>
              <w:widowControl/>
              <w:spacing w:line="240" w:lineRule="auto"/>
              <w:jc w:val="center"/>
              <w:rPr>
                <w:rFonts w:hint="eastAsia" w:ascii="黑体" w:hAnsi="黑体" w:eastAsia="黑体" w:cs="黑体"/>
                <w:b w:val="0"/>
                <w:bCs w:val="0"/>
                <w:kern w:val="0"/>
                <w:sz w:val="24"/>
                <w:highlight w:val="none"/>
                <w:lang w:val="en-GB"/>
              </w:rPr>
            </w:pPr>
            <w:r>
              <w:rPr>
                <w:rFonts w:hint="eastAsia" w:ascii="黑体" w:hAnsi="黑体" w:eastAsia="黑体" w:cs="黑体"/>
                <w:b w:val="0"/>
                <w:bCs w:val="0"/>
                <w:kern w:val="0"/>
                <w:sz w:val="24"/>
                <w:highlight w:val="none"/>
                <w:lang w:val="en-GB"/>
              </w:rPr>
              <w:t>评估方式</w:t>
            </w:r>
          </w:p>
          <w:p>
            <w:pPr>
              <w:widowControl/>
              <w:spacing w:line="240" w:lineRule="auto"/>
              <w:jc w:val="center"/>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（优100-良80-中60-差0）</w:t>
            </w:r>
          </w:p>
        </w:tc>
        <w:tc>
          <w:tcPr>
            <w:tcW w:w="520" w:type="pct"/>
            <w:noWrap w:val="0"/>
            <w:vAlign w:val="center"/>
          </w:tcPr>
          <w:p>
            <w:pPr>
              <w:widowControl/>
              <w:spacing w:line="240" w:lineRule="auto"/>
              <w:jc w:val="center"/>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指标占比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pPr>
              <w:pStyle w:val="17"/>
              <w:widowControl/>
              <w:spacing w:line="240" w:lineRule="auto"/>
              <w:ind w:firstLine="0" w:firstLineChars="0"/>
              <w:jc w:val="center"/>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1</w:t>
            </w:r>
          </w:p>
        </w:tc>
        <w:tc>
          <w:tcPr>
            <w:tcW w:w="520" w:type="pct"/>
            <w:noWrap w:val="0"/>
            <w:vAlign w:val="center"/>
          </w:tcPr>
          <w:p>
            <w:pPr>
              <w:pStyle w:val="17"/>
              <w:widowControl/>
              <w:spacing w:line="240" w:lineRule="auto"/>
              <w:ind w:firstLine="0" w:firstLineChars="0"/>
              <w:jc w:val="center"/>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本项目进度及计划执行率</w:t>
            </w:r>
          </w:p>
        </w:tc>
        <w:tc>
          <w:tcPr>
            <w:tcW w:w="1168" w:type="pct"/>
            <w:noWrap w:val="0"/>
            <w:vAlign w:val="center"/>
          </w:tcPr>
          <w:p>
            <w:pPr>
              <w:pStyle w:val="17"/>
              <w:widowControl/>
              <w:spacing w:line="240" w:lineRule="auto"/>
              <w:ind w:firstLine="0" w:firstLineChars="0"/>
              <w:jc w:val="center"/>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各阶段累计工作延后完成天数/各阶段累计计划天数</w:t>
            </w:r>
          </w:p>
        </w:tc>
        <w:tc>
          <w:tcPr>
            <w:tcW w:w="2567" w:type="pct"/>
            <w:noWrap w:val="0"/>
            <w:vAlign w:val="center"/>
          </w:tcPr>
          <w:p>
            <w:pPr>
              <w:pStyle w:val="17"/>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1. 计划延误率</w:t>
            </w:r>
            <w:r>
              <w:rPr>
                <w:rFonts w:hint="eastAsia" w:ascii="仿宋_GB2312" w:hAnsi="仿宋_GB2312" w:eastAsia="仿宋_GB2312" w:cs="仿宋_GB2312"/>
                <w:kern w:val="0"/>
                <w:sz w:val="24"/>
                <w:szCs w:val="24"/>
                <w:highlight w:val="none"/>
                <w:lang w:val="en-US" w:eastAsia="zh-CN"/>
              </w:rPr>
              <w:t>为0</w:t>
            </w:r>
            <w:r>
              <w:rPr>
                <w:rFonts w:hint="eastAsia" w:ascii="仿宋_GB2312" w:hAnsi="仿宋_GB2312" w:eastAsia="仿宋_GB2312" w:cs="仿宋_GB2312"/>
                <w:kern w:val="0"/>
                <w:sz w:val="24"/>
                <w:szCs w:val="24"/>
                <w:highlight w:val="none"/>
                <w:lang w:val="en-GB"/>
              </w:rPr>
              <w:t xml:space="preserve">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优</w:t>
            </w:r>
          </w:p>
          <w:p>
            <w:pPr>
              <w:pStyle w:val="17"/>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 xml:space="preserve">2. </w:t>
            </w:r>
            <w:r>
              <w:rPr>
                <w:rFonts w:hint="eastAsia" w:ascii="仿宋_GB2312" w:hAnsi="仿宋_GB2312" w:eastAsia="仿宋_GB2312" w:cs="仿宋_GB2312"/>
                <w:kern w:val="0"/>
                <w:sz w:val="24"/>
                <w:szCs w:val="24"/>
                <w:highlight w:val="none"/>
                <w:lang w:val="en-US" w:eastAsia="zh-CN"/>
              </w:rPr>
              <w:t>0</w:t>
            </w:r>
            <w:r>
              <w:rPr>
                <w:rFonts w:hint="eastAsia" w:ascii="仿宋_GB2312" w:hAnsi="仿宋_GB2312" w:eastAsia="仿宋_GB2312" w:cs="仿宋_GB2312"/>
                <w:kern w:val="0"/>
                <w:sz w:val="24"/>
                <w:szCs w:val="24"/>
                <w:highlight w:val="none"/>
                <w:lang w:val="en-GB"/>
              </w:rPr>
              <w:t>＜计划延误率≤</w:t>
            </w:r>
            <w:r>
              <w:rPr>
                <w:rFonts w:hint="eastAsia" w:ascii="仿宋_GB2312" w:hAnsi="仿宋_GB2312" w:eastAsia="仿宋_GB2312" w:cs="仿宋_GB2312"/>
                <w:kern w:val="0"/>
                <w:sz w:val="24"/>
                <w:szCs w:val="24"/>
                <w:highlight w:val="none"/>
                <w:lang w:val="en-US" w:eastAsia="zh-CN"/>
              </w:rPr>
              <w:t>1</w:t>
            </w:r>
            <w:r>
              <w:rPr>
                <w:rFonts w:hint="eastAsia" w:ascii="仿宋_GB2312" w:hAnsi="仿宋_GB2312" w:eastAsia="仿宋_GB2312" w:cs="仿宋_GB2312"/>
                <w:kern w:val="0"/>
                <w:sz w:val="24"/>
                <w:szCs w:val="24"/>
                <w:highlight w:val="none"/>
                <w:lang w:val="en-GB"/>
              </w:rPr>
              <w:t xml:space="preserve">%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良</w:t>
            </w:r>
          </w:p>
          <w:p>
            <w:pPr>
              <w:pStyle w:val="17"/>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3.</w:t>
            </w:r>
            <w:r>
              <w:rPr>
                <w:rFonts w:hint="eastAsia" w:ascii="仿宋_GB2312" w:hAnsi="仿宋_GB2312" w:eastAsia="仿宋_GB2312" w:cs="仿宋_GB2312"/>
                <w:kern w:val="0"/>
                <w:sz w:val="24"/>
                <w:szCs w:val="24"/>
                <w:highlight w:val="none"/>
                <w:lang w:val="en-US" w:eastAsia="zh-CN"/>
              </w:rPr>
              <w:t xml:space="preserve"> 1</w:t>
            </w:r>
            <w:r>
              <w:rPr>
                <w:rFonts w:hint="eastAsia" w:ascii="仿宋_GB2312" w:hAnsi="仿宋_GB2312" w:eastAsia="仿宋_GB2312" w:cs="仿宋_GB2312"/>
                <w:kern w:val="0"/>
                <w:sz w:val="24"/>
                <w:szCs w:val="24"/>
                <w:highlight w:val="none"/>
                <w:lang w:val="en-GB"/>
              </w:rPr>
              <w:t>%＜计划延误率≤</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 xml:space="preserve">%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中</w:t>
            </w:r>
          </w:p>
          <w:p>
            <w:pPr>
              <w:pStyle w:val="17"/>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4.</w:t>
            </w:r>
            <w:r>
              <w:rPr>
                <w:rFonts w:hint="eastAsia" w:ascii="仿宋_GB2312" w:hAnsi="仿宋_GB2312" w:eastAsia="仿宋_GB2312" w:cs="仿宋_GB2312"/>
                <w:kern w:val="0"/>
                <w:sz w:val="24"/>
                <w:szCs w:val="24"/>
                <w:highlight w:val="none"/>
                <w:lang w:val="en-US" w:eastAsia="zh-CN"/>
              </w:rPr>
              <w:t xml:space="preserve"> 3</w:t>
            </w:r>
            <w:r>
              <w:rPr>
                <w:rFonts w:hint="eastAsia" w:ascii="仿宋_GB2312" w:hAnsi="仿宋_GB2312" w:eastAsia="仿宋_GB2312" w:cs="仿宋_GB2312"/>
                <w:kern w:val="0"/>
                <w:sz w:val="24"/>
                <w:szCs w:val="24"/>
                <w:highlight w:val="none"/>
                <w:lang w:val="en-GB"/>
              </w:rPr>
              <w:t xml:space="preserve">%＜计划延误率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差</w:t>
            </w:r>
          </w:p>
        </w:tc>
        <w:tc>
          <w:tcPr>
            <w:tcW w:w="520" w:type="pct"/>
            <w:noWrap w:val="0"/>
            <w:vAlign w:val="center"/>
          </w:tcPr>
          <w:p>
            <w:pPr>
              <w:pStyle w:val="17"/>
              <w:widowControl/>
              <w:spacing w:line="240" w:lineRule="auto"/>
              <w:ind w:firstLine="0" w:firstLineChars="0"/>
              <w:jc w:val="center"/>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en-US" w:eastAsia="zh-CN"/>
              </w:rPr>
              <w:t>4</w:t>
            </w:r>
            <w:r>
              <w:rPr>
                <w:rFonts w:hint="eastAsia" w:ascii="仿宋_GB2312" w:hAnsi="仿宋_GB2312" w:eastAsia="仿宋_GB2312" w:cs="仿宋_GB2312"/>
                <w:kern w:val="0"/>
                <w:sz w:val="24"/>
                <w:szCs w:val="24"/>
                <w:highlight w:val="none"/>
                <w:lang w:val="de-D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pPr>
              <w:pStyle w:val="17"/>
              <w:widowControl/>
              <w:spacing w:line="240" w:lineRule="auto"/>
              <w:ind w:firstLine="0" w:firstLineChars="0"/>
              <w:jc w:val="center"/>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2</w:t>
            </w:r>
          </w:p>
        </w:tc>
        <w:tc>
          <w:tcPr>
            <w:tcW w:w="520" w:type="pct"/>
            <w:noWrap w:val="0"/>
            <w:vAlign w:val="center"/>
          </w:tcPr>
          <w:p>
            <w:pPr>
              <w:pStyle w:val="17"/>
              <w:widowControl/>
              <w:spacing w:line="240" w:lineRule="auto"/>
              <w:ind w:firstLine="0" w:firstLineChars="0"/>
              <w:jc w:val="center"/>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项目投产后问题数量</w:t>
            </w:r>
          </w:p>
        </w:tc>
        <w:tc>
          <w:tcPr>
            <w:tcW w:w="1168" w:type="pct"/>
            <w:noWrap w:val="0"/>
            <w:vAlign w:val="center"/>
          </w:tcPr>
          <w:p>
            <w:pPr>
              <w:pStyle w:val="17"/>
              <w:widowControl/>
              <w:spacing w:line="240" w:lineRule="auto"/>
              <w:ind w:firstLine="0" w:firstLineChars="0"/>
              <w:jc w:val="center"/>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投产后至验收时累计问题数</w:t>
            </w:r>
          </w:p>
        </w:tc>
        <w:tc>
          <w:tcPr>
            <w:tcW w:w="2567" w:type="pct"/>
            <w:noWrap w:val="0"/>
            <w:vAlign w:val="center"/>
          </w:tcPr>
          <w:p>
            <w:pPr>
              <w:pStyle w:val="17"/>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1.每100功能点每</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月发现问题数&lt;5   优</w:t>
            </w:r>
          </w:p>
          <w:p>
            <w:pPr>
              <w:pStyle w:val="17"/>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2.每100功能点每</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月发现问题数&lt;=10 良</w:t>
            </w:r>
          </w:p>
          <w:p>
            <w:pPr>
              <w:pStyle w:val="17"/>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3.每100功能点每</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月发现问题数&lt;=15 中</w:t>
            </w:r>
          </w:p>
          <w:p>
            <w:pPr>
              <w:pStyle w:val="17"/>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4.每100功能点每</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月发现问题数&gt;15  差</w:t>
            </w:r>
          </w:p>
        </w:tc>
        <w:tc>
          <w:tcPr>
            <w:tcW w:w="520" w:type="pct"/>
            <w:noWrap w:val="0"/>
            <w:vAlign w:val="center"/>
          </w:tcPr>
          <w:p>
            <w:pPr>
              <w:pStyle w:val="17"/>
              <w:widowControl/>
              <w:spacing w:line="240" w:lineRule="auto"/>
              <w:ind w:firstLine="0" w:firstLineChars="0"/>
              <w:jc w:val="center"/>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de-D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pPr>
              <w:pStyle w:val="17"/>
              <w:widowControl/>
              <w:spacing w:line="240" w:lineRule="auto"/>
              <w:ind w:firstLine="0" w:firstLineChars="0"/>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3</w:t>
            </w:r>
          </w:p>
        </w:tc>
        <w:tc>
          <w:tcPr>
            <w:tcW w:w="520" w:type="pct"/>
            <w:noWrap w:val="0"/>
            <w:vAlign w:val="center"/>
          </w:tcPr>
          <w:p>
            <w:pPr>
              <w:pStyle w:val="17"/>
              <w:widowControl/>
              <w:spacing w:line="240" w:lineRule="auto"/>
              <w:ind w:firstLine="0" w:firstLineChars="0"/>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工单未及时处理率</w:t>
            </w:r>
          </w:p>
        </w:tc>
        <w:tc>
          <w:tcPr>
            <w:tcW w:w="1168" w:type="pct"/>
            <w:noWrap w:val="0"/>
            <w:vAlign w:val="center"/>
          </w:tcPr>
          <w:p>
            <w:pPr>
              <w:pStyle w:val="17"/>
              <w:widowControl/>
              <w:spacing w:line="240" w:lineRule="auto"/>
              <w:ind w:firstLine="0" w:firstLineChars="0"/>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工单处理时长超一个月工单数量/总工单数量</w:t>
            </w:r>
          </w:p>
        </w:tc>
        <w:tc>
          <w:tcPr>
            <w:tcW w:w="2567" w:type="pct"/>
            <w:noWrap w:val="0"/>
            <w:vAlign w:val="center"/>
          </w:tcPr>
          <w:p>
            <w:pPr>
              <w:pStyle w:val="17"/>
              <w:widowControl/>
              <w:numPr>
                <w:ilvl w:val="0"/>
                <w:numId w:val="0"/>
              </w:numPr>
              <w:spacing w:line="240" w:lineRule="auto"/>
              <w:ind w:firstLine="0" w:firstLineChars="0"/>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1. 工单未及时处理率</w:t>
            </w:r>
            <w:r>
              <w:rPr>
                <w:rFonts w:hint="eastAsia" w:ascii="仿宋_GB2312" w:hAnsi="仿宋_GB2312" w:eastAsia="仿宋_GB2312" w:cs="仿宋_GB2312"/>
                <w:kern w:val="0"/>
                <w:sz w:val="24"/>
                <w:szCs w:val="24"/>
                <w:highlight w:val="none"/>
                <w:lang w:val="en-GB"/>
              </w:rPr>
              <w:t>≤0%</w:t>
            </w:r>
            <w:r>
              <w:rPr>
                <w:rFonts w:hint="eastAsia" w:ascii="仿宋_GB2312" w:hAnsi="仿宋_GB2312" w:eastAsia="仿宋_GB2312" w:cs="仿宋_GB2312"/>
                <w:kern w:val="0"/>
                <w:sz w:val="24"/>
                <w:szCs w:val="24"/>
                <w:highlight w:val="none"/>
                <w:lang w:val="en-US" w:eastAsia="zh-CN"/>
              </w:rPr>
              <w:t xml:space="preserve">     优</w:t>
            </w:r>
          </w:p>
          <w:p>
            <w:pPr>
              <w:pStyle w:val="17"/>
              <w:widowControl/>
              <w:numPr>
                <w:ilvl w:val="0"/>
                <w:numId w:val="0"/>
              </w:numPr>
              <w:spacing w:line="240" w:lineRule="auto"/>
              <w:ind w:firstLine="0" w:firstLineChars="0"/>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 0%&lt;工单未及时处理率</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 xml:space="preserve">  良</w:t>
            </w:r>
          </w:p>
          <w:p>
            <w:pPr>
              <w:pStyle w:val="17"/>
              <w:widowControl/>
              <w:numPr>
                <w:ilvl w:val="0"/>
                <w:numId w:val="0"/>
              </w:numPr>
              <w:spacing w:line="240" w:lineRule="auto"/>
              <w:ind w:firstLine="0" w:firstLineChars="0"/>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3. 5%&lt;工单未及时处理率</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15</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 xml:space="preserve"> 中</w:t>
            </w:r>
          </w:p>
          <w:p>
            <w:pPr>
              <w:pStyle w:val="17"/>
              <w:widowControl/>
              <w:numPr>
                <w:ilvl w:val="0"/>
                <w:numId w:val="0"/>
              </w:numPr>
              <w:spacing w:line="240" w:lineRule="auto"/>
              <w:ind w:firstLine="0" w:firstLineChars="0"/>
              <w:jc w:val="left"/>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4. 15%&lt;工单未及时处理率     差</w:t>
            </w:r>
          </w:p>
        </w:tc>
        <w:tc>
          <w:tcPr>
            <w:tcW w:w="520" w:type="pct"/>
            <w:noWrap w:val="0"/>
            <w:vAlign w:val="center"/>
          </w:tcPr>
          <w:p>
            <w:pPr>
              <w:pStyle w:val="17"/>
              <w:widowControl/>
              <w:spacing w:line="240" w:lineRule="auto"/>
              <w:ind w:firstLine="0" w:firstLineChars="0"/>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223" w:type="pct"/>
            <w:noWrap w:val="0"/>
            <w:vAlign w:val="center"/>
          </w:tcPr>
          <w:p>
            <w:pPr>
              <w:pStyle w:val="17"/>
              <w:widowControl/>
              <w:spacing w:line="240" w:lineRule="auto"/>
              <w:ind w:firstLine="0" w:firstLineChars="0"/>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4</w:t>
            </w:r>
          </w:p>
        </w:tc>
        <w:tc>
          <w:tcPr>
            <w:tcW w:w="520" w:type="pct"/>
            <w:noWrap w:val="0"/>
            <w:vAlign w:val="center"/>
          </w:tcPr>
          <w:p>
            <w:pPr>
              <w:pStyle w:val="17"/>
              <w:widowControl/>
              <w:spacing w:line="240" w:lineRule="auto"/>
              <w:ind w:firstLine="0" w:firstLineChars="0"/>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异常考勤率</w:t>
            </w:r>
          </w:p>
        </w:tc>
        <w:tc>
          <w:tcPr>
            <w:tcW w:w="1168" w:type="pct"/>
            <w:noWrap w:val="0"/>
            <w:vAlign w:val="center"/>
          </w:tcPr>
          <w:p>
            <w:pPr>
              <w:pStyle w:val="17"/>
              <w:widowControl/>
              <w:spacing w:line="240" w:lineRule="auto"/>
              <w:ind w:firstLine="0" w:firstLineChars="0"/>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驻场期间异常考勤天数/应出勤天数</w:t>
            </w:r>
          </w:p>
        </w:tc>
        <w:tc>
          <w:tcPr>
            <w:tcW w:w="2567" w:type="pct"/>
            <w:noWrap w:val="0"/>
            <w:vAlign w:val="center"/>
          </w:tcPr>
          <w:p>
            <w:pPr>
              <w:pStyle w:val="17"/>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 xml:space="preserve">1. </w:t>
            </w:r>
            <w:r>
              <w:rPr>
                <w:rFonts w:hint="eastAsia" w:ascii="仿宋_GB2312" w:hAnsi="仿宋_GB2312" w:eastAsia="仿宋_GB2312" w:cs="仿宋_GB2312"/>
                <w:kern w:val="0"/>
                <w:sz w:val="24"/>
                <w:szCs w:val="24"/>
                <w:highlight w:val="none"/>
                <w:lang w:val="en-US" w:eastAsia="zh-CN"/>
              </w:rPr>
              <w:t>异常考勤</w:t>
            </w:r>
            <w:r>
              <w:rPr>
                <w:rFonts w:hint="eastAsia" w:ascii="仿宋_GB2312" w:hAnsi="仿宋_GB2312" w:eastAsia="仿宋_GB2312" w:cs="仿宋_GB2312"/>
                <w:kern w:val="0"/>
                <w:sz w:val="24"/>
                <w:szCs w:val="24"/>
                <w:highlight w:val="none"/>
                <w:lang w:val="en-GB"/>
              </w:rPr>
              <w:t>率≤</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lang w:val="en-GB"/>
              </w:rPr>
              <w:t>%        优</w:t>
            </w:r>
          </w:p>
          <w:p>
            <w:pPr>
              <w:pStyle w:val="17"/>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 xml:space="preserve">2. </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异常考勤</w:t>
            </w:r>
            <w:r>
              <w:rPr>
                <w:rFonts w:hint="eastAsia" w:ascii="仿宋_GB2312" w:hAnsi="仿宋_GB2312" w:eastAsia="仿宋_GB2312" w:cs="仿宋_GB2312"/>
                <w:kern w:val="0"/>
                <w:sz w:val="24"/>
                <w:szCs w:val="24"/>
                <w:highlight w:val="none"/>
                <w:lang w:val="en-GB"/>
              </w:rPr>
              <w:t>率≤</w:t>
            </w:r>
            <w:r>
              <w:rPr>
                <w:rFonts w:hint="eastAsia" w:ascii="仿宋_GB2312" w:hAnsi="仿宋_GB2312" w:eastAsia="仿宋_GB2312" w:cs="仿宋_GB2312"/>
                <w:kern w:val="0"/>
                <w:sz w:val="24"/>
                <w:szCs w:val="24"/>
                <w:highlight w:val="none"/>
                <w:lang w:val="en-US" w:eastAsia="zh-CN"/>
              </w:rPr>
              <w:t>10</w:t>
            </w:r>
            <w:r>
              <w:rPr>
                <w:rFonts w:hint="eastAsia" w:ascii="仿宋_GB2312" w:hAnsi="仿宋_GB2312" w:eastAsia="仿宋_GB2312" w:cs="仿宋_GB2312"/>
                <w:kern w:val="0"/>
                <w:sz w:val="24"/>
                <w:szCs w:val="24"/>
                <w:highlight w:val="none"/>
                <w:lang w:val="en-GB"/>
              </w:rPr>
              <w:t>%   良</w:t>
            </w:r>
          </w:p>
          <w:p>
            <w:pPr>
              <w:pStyle w:val="17"/>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3.</w:t>
            </w:r>
            <w:r>
              <w:rPr>
                <w:rFonts w:hint="eastAsia" w:ascii="仿宋_GB2312" w:hAnsi="仿宋_GB2312" w:eastAsia="仿宋_GB2312" w:cs="仿宋_GB2312"/>
                <w:kern w:val="0"/>
                <w:sz w:val="24"/>
                <w:szCs w:val="24"/>
                <w:highlight w:val="none"/>
                <w:lang w:val="en-US" w:eastAsia="zh-CN"/>
              </w:rPr>
              <w:t xml:space="preserve"> 10</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异常考勤</w:t>
            </w:r>
            <w:r>
              <w:rPr>
                <w:rFonts w:hint="eastAsia" w:ascii="仿宋_GB2312" w:hAnsi="仿宋_GB2312" w:eastAsia="仿宋_GB2312" w:cs="仿宋_GB2312"/>
                <w:kern w:val="0"/>
                <w:sz w:val="24"/>
                <w:szCs w:val="24"/>
                <w:highlight w:val="none"/>
                <w:lang w:val="en-GB"/>
              </w:rPr>
              <w:t>率≤15%  中</w:t>
            </w:r>
          </w:p>
          <w:p>
            <w:pPr>
              <w:pStyle w:val="17"/>
              <w:widowControl/>
              <w:numPr>
                <w:ilvl w:val="0"/>
                <w:numId w:val="0"/>
              </w:numPr>
              <w:spacing w:line="240" w:lineRule="auto"/>
              <w:ind w:firstLine="0" w:firstLineChars="0"/>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GB"/>
              </w:rPr>
              <w:t>4.</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15%＜</w:t>
            </w:r>
            <w:r>
              <w:rPr>
                <w:rFonts w:hint="eastAsia" w:ascii="仿宋_GB2312" w:hAnsi="仿宋_GB2312" w:eastAsia="仿宋_GB2312" w:cs="仿宋_GB2312"/>
                <w:kern w:val="0"/>
                <w:sz w:val="24"/>
                <w:szCs w:val="24"/>
                <w:highlight w:val="none"/>
                <w:lang w:val="en-US" w:eastAsia="zh-CN"/>
              </w:rPr>
              <w:t>异常考勤</w:t>
            </w:r>
            <w:r>
              <w:rPr>
                <w:rFonts w:hint="eastAsia" w:ascii="仿宋_GB2312" w:hAnsi="仿宋_GB2312" w:eastAsia="仿宋_GB2312" w:cs="仿宋_GB2312"/>
                <w:kern w:val="0"/>
                <w:sz w:val="24"/>
                <w:szCs w:val="24"/>
                <w:highlight w:val="none"/>
                <w:lang w:val="en-GB"/>
              </w:rPr>
              <w:t>率       差</w:t>
            </w:r>
          </w:p>
        </w:tc>
        <w:tc>
          <w:tcPr>
            <w:tcW w:w="520" w:type="pct"/>
            <w:noWrap w:val="0"/>
            <w:vAlign w:val="center"/>
          </w:tcPr>
          <w:p>
            <w:pPr>
              <w:pStyle w:val="17"/>
              <w:widowControl/>
              <w:spacing w:line="240" w:lineRule="auto"/>
              <w:ind w:firstLine="0" w:firstLineChars="0"/>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5000" w:type="pct"/>
            <w:gridSpan w:val="5"/>
            <w:noWrap w:val="0"/>
            <w:vAlign w:val="center"/>
          </w:tcPr>
          <w:p>
            <w:pPr>
              <w:pStyle w:val="17"/>
              <w:widowControl/>
              <w:tabs>
                <w:tab w:val="left" w:pos="2252"/>
              </w:tabs>
              <w:spacing w:line="240" w:lineRule="auto"/>
              <w:ind w:firstLine="0" w:firstLineChars="0"/>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说明：本项目涉及功能点情况和数量随报价文件一并提供，应与工作量评估底稿一致；考勤率结合采购人外包考勤情况进行计算。</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630" w:left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根据SLA最后得分情况，划分为四个等级：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630" w:left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SLA&gt;=95的为优；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630" w:left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SLA在80-95的为良；</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630" w:left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SLA在60-80的为中；</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630" w:leftChars="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SLA&lt;60的为差。</w:t>
      </w:r>
    </w:p>
    <w:p>
      <w:pPr>
        <w:keepNext w:val="0"/>
        <w:keepLines w:val="0"/>
        <w:pageBreakBefore w:val="0"/>
        <w:kinsoku/>
        <w:wordWrap/>
        <w:overflowPunct/>
        <w:topLinePunct w:val="0"/>
        <w:autoSpaceDE/>
        <w:autoSpaceDN/>
        <w:bidi w:val="0"/>
        <w:adjustRightInd w:val="0"/>
        <w:snapToGrid/>
        <w:spacing w:beforeAutospacing="0" w:afterAutospacing="0" w:line="360" w:lineRule="auto"/>
        <w:ind w:firstLine="482" w:firstLineChars="200"/>
        <w:textAlignment w:val="baseline"/>
        <w:rPr>
          <w:rFonts w:hint="eastAsia" w:ascii="仿宋" w:hAnsi="仿宋" w:eastAsia="仿宋" w:cs="仿宋"/>
          <w:b/>
          <w:bCs/>
          <w:color w:val="auto"/>
          <w:sz w:val="24"/>
          <w:szCs w:val="24"/>
          <w:highlight w:val="none"/>
          <w:lang w:val="en-US" w:eastAsia="zh-CN"/>
        </w:rPr>
      </w:pPr>
      <w:bookmarkStart w:id="52" w:name="_Toc7716"/>
      <w:r>
        <w:rPr>
          <w:rFonts w:hint="eastAsia" w:ascii="仿宋" w:hAnsi="仿宋" w:eastAsia="仿宋" w:cs="仿宋"/>
          <w:b/>
          <w:bCs/>
          <w:color w:val="auto"/>
          <w:sz w:val="24"/>
          <w:szCs w:val="24"/>
          <w:highlight w:val="none"/>
          <w:lang w:val="en-US" w:eastAsia="zh-CN"/>
        </w:rPr>
        <w:t>（三）违约责任</w:t>
      </w:r>
      <w:bookmarkEnd w:id="52"/>
    </w:p>
    <w:p>
      <w:pPr>
        <w:pStyle w:val="6"/>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1.乙方在合同签署后，需要按上线计划完成投产上线。如因乙方原因导致未能按期投产上线，将按照每逾期一日，扣除“合同价款”的千分之五（5‰）。</w:t>
      </w:r>
    </w:p>
    <w:p>
      <w:pPr>
        <w:pStyle w:val="6"/>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2.SLA考核的罚则</w:t>
      </w:r>
    </w:p>
    <w:p>
      <w:pPr>
        <w:pStyle w:val="6"/>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（1）SLA考核为良：约谈公司高管，提出服务质量保障具体措施并限期落实；</w:t>
      </w:r>
    </w:p>
    <w:p>
      <w:pPr>
        <w:pStyle w:val="6"/>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（2）SLA考核为中：约谈公司高管，提出服务质量保障具体措施并限期落实，从本次付款起每期付款顺次延迟半年支付，如有多次延迟的，延迟期限叠加。</w:t>
      </w:r>
    </w:p>
    <w:p>
      <w:pPr>
        <w:pStyle w:val="6"/>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highlight w:val="none"/>
          <w:lang w:val="en-US" w:eastAsia="zh-CN"/>
        </w:rPr>
        <w:t>（3）SLA 考核为差：约谈公司高管，提出服务质量保障具体措施并限期落实，暂停本次及以后各期款项支付，直至下次考核时服务质量达到中级以上，接续按以上标准执行。如已是最后一次验收，则扣除“合同价款”的百分之五（5%）。</w:t>
      </w:r>
    </w:p>
    <w:p>
      <w:pPr>
        <w:pStyle w:val="10"/>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十一、投标资质要求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sz w:val="24"/>
          <w:szCs w:val="24"/>
        </w:rPr>
      </w:pPr>
      <w:r>
        <w:rPr>
          <w:rFonts w:hint="eastAsia" w:ascii="仿宋" w:hAnsi="仿宋" w:eastAsia="仿宋" w:cs="仿宋"/>
          <w:kern w:val="2"/>
          <w:sz w:val="24"/>
          <w:szCs w:val="24"/>
          <w:lang w:val="en-US" w:eastAsia="zh-CN" w:bidi="ar-SA"/>
        </w:rPr>
        <w:t>无。</w:t>
      </w:r>
      <w:bookmarkEnd w:id="45"/>
    </w:p>
    <w:p>
      <w:pPr>
        <w:spacing w:line="360" w:lineRule="auto"/>
        <w:rPr>
          <w:rFonts w:hint="eastAsia" w:ascii="仿宋" w:hAnsi="仿宋" w:eastAsia="仿宋" w:cs="仿宋"/>
          <w:kern w:val="0"/>
          <w:sz w:val="28"/>
          <w:szCs w:val="28"/>
          <w:lang w:val="en-US" w:eastAsia="zh-CN"/>
        </w:rPr>
      </w:pPr>
    </w:p>
    <w:p/>
    <w:sectPr>
      <w:headerReference r:id="rId5" w:type="default"/>
      <w:footerReference r:id="rId6" w:type="default"/>
      <w:pgSz w:w="11906" w:h="16838"/>
      <w:pgMar w:top="1247" w:right="1247" w:bottom="1247" w:left="124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jc w:val="left"/>
      <w:rPr>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962B"/>
    <w:multiLevelType w:val="singleLevel"/>
    <w:tmpl w:val="84DF962B"/>
    <w:lvl w:ilvl="0" w:tentative="0">
      <w:start w:val="2"/>
      <w:numFmt w:val="chineseCounting"/>
      <w:suff w:val="nothing"/>
      <w:lvlText w:val="（%1）"/>
      <w:lvlJc w:val="left"/>
      <w:rPr>
        <w:rFonts w:hint="eastAsia"/>
      </w:rPr>
    </w:lvl>
  </w:abstractNum>
  <w:abstractNum w:abstractNumId="1">
    <w:nsid w:val="AE84738A"/>
    <w:multiLevelType w:val="singleLevel"/>
    <w:tmpl w:val="AE84738A"/>
    <w:lvl w:ilvl="0" w:tentative="0">
      <w:start w:val="1"/>
      <w:numFmt w:val="decimal"/>
      <w:suff w:val="nothing"/>
      <w:lvlText w:val="%1"/>
      <w:lvlJc w:val="left"/>
      <w:pPr>
        <w:tabs>
          <w:tab w:val="left" w:pos="0"/>
        </w:tabs>
        <w:ind w:left="454" w:hanging="454"/>
      </w:pPr>
      <w:rPr>
        <w:rFonts w:hint="default" w:ascii="宋体" w:hAnsi="宋体" w:eastAsia="宋体" w:cs="宋体"/>
      </w:rPr>
    </w:lvl>
  </w:abstractNum>
  <w:abstractNum w:abstractNumId="2">
    <w:nsid w:val="F91E1A1F"/>
    <w:multiLevelType w:val="singleLevel"/>
    <w:tmpl w:val="F91E1A1F"/>
    <w:lvl w:ilvl="0" w:tentative="0">
      <w:start w:val="9"/>
      <w:numFmt w:val="chineseCounting"/>
      <w:suff w:val="nothing"/>
      <w:lvlText w:val="%1、"/>
      <w:lvlJc w:val="left"/>
      <w:rPr>
        <w:rFonts w:hint="eastAsia"/>
      </w:rPr>
    </w:lvl>
  </w:abstractNum>
  <w:abstractNum w:abstractNumId="3">
    <w:nsid w:val="73942994"/>
    <w:multiLevelType w:val="singleLevel"/>
    <w:tmpl w:val="73942994"/>
    <w:lvl w:ilvl="0" w:tentative="0">
      <w:start w:val="1"/>
      <w:numFmt w:val="bullet"/>
      <w:lvlText w:val=""/>
      <w:lvlJc w:val="left"/>
      <w:pPr>
        <w:ind w:left="1050" w:hanging="42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83F82"/>
    <w:rsid w:val="360748CF"/>
    <w:rsid w:val="5F8A1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Plain Text"/>
    <w:basedOn w:val="1"/>
    <w:unhideWhenUsed/>
    <w:qFormat/>
    <w:uiPriority w:val="0"/>
    <w:rPr>
      <w:rFonts w:ascii="宋体" w:hAnsi="Courier New"/>
      <w:szCs w:val="21"/>
    </w:rPr>
  </w:style>
  <w:style w:type="paragraph" w:styleId="5">
    <w:name w:val="Normal Indent"/>
    <w:basedOn w:val="1"/>
    <w:next w:val="6"/>
    <w:qFormat/>
    <w:uiPriority w:val="0"/>
    <w:pPr>
      <w:spacing w:before="100" w:beforeAutospacing="1" w:after="100" w:afterAutospacing="1"/>
      <w:ind w:firstLine="200" w:firstLineChars="200"/>
    </w:pPr>
  </w:style>
  <w:style w:type="paragraph" w:styleId="6">
    <w:name w:val="caption"/>
    <w:basedOn w:val="1"/>
    <w:next w:val="1"/>
    <w:qFormat/>
    <w:uiPriority w:val="0"/>
    <w:pPr>
      <w:spacing w:before="152" w:after="160"/>
    </w:pPr>
    <w:rPr>
      <w:rFonts w:ascii="Arial" w:hAnsi="Arial" w:eastAsia="黑体"/>
      <w:sz w:val="20"/>
      <w:szCs w:val="20"/>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4"/>
    <w:next w:val="1"/>
    <w:qFormat/>
    <w:uiPriority w:val="10"/>
    <w:pPr>
      <w:widowControl/>
      <w:tabs>
        <w:tab w:val="left" w:pos="192"/>
      </w:tabs>
      <w:spacing w:before="50" w:after="50" w:line="240" w:lineRule="exact"/>
      <w:jc w:val="center"/>
      <w:outlineLvl w:val="0"/>
    </w:pPr>
    <w:rPr>
      <w:rFonts w:ascii="Cambria" w:hAnsi="Cambria" w:cs="Times New Roman"/>
      <w:sz w:val="28"/>
      <w:szCs w:val="32"/>
    </w:rPr>
  </w:style>
  <w:style w:type="paragraph" w:styleId="11">
    <w:name w:val="Body Text First Indent"/>
    <w:basedOn w:val="2"/>
    <w:unhideWhenUsed/>
    <w:qFormat/>
    <w:uiPriority w:val="0"/>
    <w:pPr>
      <w:widowControl w:val="0"/>
      <w:spacing w:line="240" w:lineRule="auto"/>
      <w:ind w:left="0" w:firstLine="420" w:firstLineChars="100"/>
      <w:jc w:val="both"/>
    </w:pPr>
    <w:rPr>
      <w:rFonts w:ascii="Arial" w:hAnsi="Arial"/>
      <w:kern w:val="2"/>
      <w:sz w:val="21"/>
      <w:szCs w:val="24"/>
    </w:rPr>
  </w:style>
  <w:style w:type="paragraph" w:styleId="12">
    <w:name w:val="Body Text First Indent 2"/>
    <w:basedOn w:val="1"/>
    <w:next w:val="11"/>
    <w:unhideWhenUsed/>
    <w:qFormat/>
    <w:uiPriority w:val="0"/>
    <w:pPr>
      <w:spacing w:after="120"/>
      <w:ind w:left="420" w:leftChars="200" w:firstLine="420" w:firstLineChars="200"/>
    </w:pPr>
    <w:rPr>
      <w:rFonts w:ascii="Calibri" w:hAnsi="Calibri"/>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 Body1"/>
    <w:basedOn w:val="1"/>
    <w:qFormat/>
    <w:uiPriority w:val="0"/>
    <w:pPr>
      <w:widowControl/>
      <w:spacing w:afterLines="50" w:line="360" w:lineRule="auto"/>
    </w:pPr>
    <w:rPr>
      <w:rFonts w:cs="宋体"/>
      <w:kern w:val="0"/>
      <w:sz w:val="24"/>
      <w:szCs w:val="20"/>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2026-05-14T01:29:00Z</dcterms:created>
  <dc:creator>dn</dc:creator>
  <cp:lastModifiedBy>zh-wangj07</cp:lastModifiedBy>
  <dcterms:modified xsi:type="dcterms:W3CDTF">2026-05-14T02:03:51Z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KSOTemplateDocerSaveRecord">
    <vt:lpwstr>eyJoZGlkIjoiZmQwNzEzOGYxNjI1Y2Q4OGRiN2E4NWZkZDk2MzcyMDMiLCJ1c2VySWQiOiI2OTYwMzk0MTgifQ==</vt:lpwstr>
  </property>
  <property fmtid="{D5CDD505-2E9C-101B-9397-08002B2CF9AE}" pid="4" name="ICV">
    <vt:lpwstr>4F335B1ED57241DEB464FD92C8020D66_13</vt:lpwstr>
  </property>
</Properties>
</file>