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D62" w:rsidRPr="00CF0F71" w:rsidRDefault="00D455C8">
      <w:pPr>
        <w:spacing w:line="560" w:lineRule="exact"/>
        <w:jc w:val="center"/>
        <w:rPr>
          <w:rFonts w:ascii="仿宋" w:eastAsia="仿宋" w:hAnsi="仿宋" w:cs="宋体"/>
          <w:b/>
          <w:bCs/>
          <w:kern w:val="44"/>
          <w:sz w:val="44"/>
          <w:szCs w:val="44"/>
        </w:rPr>
      </w:pPr>
      <w:r w:rsidRPr="00CF0F71">
        <w:rPr>
          <w:rFonts w:ascii="仿宋" w:eastAsia="仿宋" w:hAnsi="仿宋" w:cs="宋体" w:hint="eastAsia"/>
          <w:b/>
          <w:kern w:val="44"/>
          <w:sz w:val="44"/>
          <w:szCs w:val="44"/>
        </w:rPr>
        <w:t>跨境金融服务平台技术服务项目</w:t>
      </w:r>
    </w:p>
    <w:p w:rsidR="00F35D62" w:rsidRPr="005B2957" w:rsidRDefault="005B2957" w:rsidP="005B2957">
      <w:pPr>
        <w:spacing w:line="560" w:lineRule="exact"/>
        <w:jc w:val="center"/>
        <w:rPr>
          <w:rFonts w:ascii="仿宋" w:eastAsia="仿宋" w:hAnsi="仿宋" w:cs="宋体"/>
          <w:b/>
          <w:kern w:val="44"/>
          <w:sz w:val="44"/>
          <w:szCs w:val="44"/>
        </w:rPr>
      </w:pPr>
      <w:r w:rsidRPr="005B2957">
        <w:rPr>
          <w:rFonts w:ascii="仿宋" w:eastAsia="仿宋" w:hAnsi="仿宋" w:cs="宋体"/>
          <w:b/>
          <w:kern w:val="44"/>
          <w:sz w:val="44"/>
          <w:szCs w:val="44"/>
        </w:rPr>
        <w:t>采购需求</w:t>
      </w:r>
    </w:p>
    <w:p w:rsidR="00F35D62" w:rsidRPr="00CF0F71" w:rsidRDefault="00D455C8" w:rsidP="00CF0F71">
      <w:pPr>
        <w:pStyle w:val="a9"/>
        <w:adjustRightInd w:val="0"/>
        <w:spacing w:beforeLines="0" w:afterLines="0" w:line="360" w:lineRule="auto"/>
        <w:ind w:firstLineChars="200" w:firstLine="480"/>
        <w:textAlignment w:val="baseline"/>
        <w:outlineLvl w:val="0"/>
        <w:rPr>
          <w:rFonts w:ascii="仿宋" w:eastAsia="仿宋" w:hAnsi="仿宋"/>
          <w:b w:val="0"/>
          <w:bCs w:val="0"/>
          <w:sz w:val="24"/>
          <w:szCs w:val="24"/>
        </w:rPr>
      </w:pPr>
      <w:bookmarkStart w:id="0" w:name="_Toc13475"/>
      <w:bookmarkStart w:id="1" w:name="_Toc269659940"/>
      <w:r w:rsidRPr="00CF0F71">
        <w:rPr>
          <w:rFonts w:ascii="仿宋" w:eastAsia="仿宋" w:hAnsi="仿宋"/>
          <w:b w:val="0"/>
          <w:bCs w:val="0"/>
          <w:sz w:val="24"/>
          <w:szCs w:val="24"/>
        </w:rPr>
        <w:t>一、</w:t>
      </w:r>
      <w:bookmarkEnd w:id="0"/>
      <w:r w:rsidRPr="00CF0F71">
        <w:rPr>
          <w:rFonts w:ascii="仿宋" w:eastAsia="仿宋" w:hAnsi="仿宋"/>
          <w:b w:val="0"/>
          <w:bCs w:val="0"/>
          <w:sz w:val="24"/>
          <w:szCs w:val="24"/>
        </w:rPr>
        <w:t>项目介绍</w:t>
      </w:r>
      <w:bookmarkEnd w:id="1"/>
    </w:p>
    <w:p w:rsidR="00F35D62" w:rsidRPr="00CF0F71" w:rsidRDefault="00D455C8" w:rsidP="00CF0F71">
      <w:pPr>
        <w:spacing w:line="360" w:lineRule="auto"/>
        <w:ind w:firstLineChars="200" w:firstLine="480"/>
        <w:rPr>
          <w:rFonts w:ascii="仿宋" w:eastAsia="仿宋" w:hAnsi="仿宋" w:cs="仿宋_GB2312"/>
          <w:sz w:val="24"/>
        </w:rPr>
      </w:pPr>
      <w:bookmarkStart w:id="2" w:name="_Toc20375"/>
      <w:bookmarkStart w:id="3" w:name="_Toc14418"/>
      <w:r w:rsidRPr="00CF0F71">
        <w:rPr>
          <w:rFonts w:ascii="仿宋" w:eastAsia="仿宋" w:hAnsi="仿宋" w:cs="仿宋_GB2312" w:hint="eastAsia"/>
          <w:sz w:val="24"/>
        </w:rPr>
        <w:t>跨境金融服务平台是由国家外汇管理局牵头组织建设的金融基础设施，通过</w:t>
      </w:r>
      <w:r w:rsidRPr="00CF0F71">
        <w:rPr>
          <w:rFonts w:ascii="仿宋" w:eastAsia="仿宋" w:hAnsi="仿宋" w:hint="eastAsia"/>
          <w:sz w:val="24"/>
        </w:rPr>
        <w:t>打通外汇、海关、银行和保险等可靠数据，实现了政、保、银、企多种信息共享协作和交互核验机制，</w:t>
      </w:r>
      <w:r w:rsidRPr="00CF0F71">
        <w:rPr>
          <w:rFonts w:ascii="仿宋" w:eastAsia="仿宋" w:hAnsi="仿宋" w:cs="仿宋_GB2312" w:hint="eastAsia"/>
          <w:sz w:val="24"/>
        </w:rPr>
        <w:t>有效支持银行、企业等市场主体多类型跨境业务处理。目前，</w:t>
      </w:r>
      <w:r w:rsidRPr="00CF0F71">
        <w:rPr>
          <w:rFonts w:ascii="仿宋" w:eastAsia="仿宋" w:hAnsi="仿宋" w:hint="eastAsia"/>
          <w:sz w:val="24"/>
        </w:rPr>
        <w:t>跨境金融服务平台可为银行提供15个场景的科技支持，</w:t>
      </w:r>
      <w:r w:rsidRPr="00CF0F71">
        <w:rPr>
          <w:rFonts w:ascii="仿宋" w:eastAsia="仿宋" w:hAnsi="仿宋" w:cs="仿宋_GB2312" w:hint="eastAsia"/>
          <w:sz w:val="24"/>
        </w:rPr>
        <w:t>银行通过平台可实现银企间端对端可信信息交换和有效核验、银行间贸易融资信息实时互动，提高业务审核效率，丰富展业手段，</w:t>
      </w:r>
      <w:r w:rsidRPr="00CF0F71">
        <w:rPr>
          <w:rFonts w:ascii="仿宋" w:eastAsia="仿宋" w:hAnsi="仿宋" w:cs="仿宋_GB2312"/>
          <w:sz w:val="24"/>
        </w:rPr>
        <w:t>为企业提供更加便捷、高效的跨境金融服务。</w:t>
      </w:r>
    </w:p>
    <w:p w:rsidR="00F35D62" w:rsidRPr="00CF0F71" w:rsidRDefault="00D455C8" w:rsidP="00CF0F71">
      <w:pPr>
        <w:spacing w:line="360" w:lineRule="auto"/>
        <w:ind w:firstLineChars="200" w:firstLine="480"/>
        <w:rPr>
          <w:rFonts w:ascii="仿宋" w:eastAsia="仿宋" w:hAnsi="仿宋"/>
          <w:sz w:val="24"/>
        </w:rPr>
      </w:pPr>
      <w:r w:rsidRPr="00CF0F71">
        <w:rPr>
          <w:rFonts w:ascii="仿宋" w:eastAsia="仿宋" w:hAnsi="仿宋" w:cs="仿宋_GB2312" w:hint="eastAsia"/>
          <w:sz w:val="24"/>
        </w:rPr>
        <w:t>考虑到平台由外汇局主导建设、推广，在跨境业务领域最具权威和政策效益，为扩展我行跨境业务展业渠道、丰富展业手段、提升服务能力</w:t>
      </w:r>
      <w:r w:rsidRPr="00CF0F71">
        <w:rPr>
          <w:rFonts w:ascii="仿宋" w:eastAsia="仿宋" w:hAnsi="仿宋"/>
          <w:sz w:val="24"/>
        </w:rPr>
        <w:t>，拟开展</w:t>
      </w:r>
      <w:r w:rsidRPr="00CF0F71">
        <w:rPr>
          <w:rFonts w:ascii="仿宋" w:eastAsia="仿宋" w:hAnsi="仿宋" w:hint="eastAsia"/>
          <w:sz w:val="24"/>
        </w:rPr>
        <w:t>跨境金融服务平台</w:t>
      </w:r>
      <w:r w:rsidRPr="00CF0F71">
        <w:rPr>
          <w:rFonts w:ascii="仿宋" w:eastAsia="仿宋" w:hAnsi="仿宋"/>
          <w:sz w:val="24"/>
        </w:rPr>
        <w:t>技术服务项目</w:t>
      </w:r>
      <w:r w:rsidRPr="00CF0F71">
        <w:rPr>
          <w:rFonts w:ascii="仿宋" w:eastAsia="仿宋" w:hAnsi="仿宋" w:hint="eastAsia"/>
          <w:sz w:val="24"/>
        </w:rPr>
        <w:t>。</w:t>
      </w:r>
    </w:p>
    <w:p w:rsidR="00F35D62" w:rsidRPr="00CF0F71" w:rsidRDefault="00D455C8" w:rsidP="00CF0F71">
      <w:pPr>
        <w:pStyle w:val="a9"/>
        <w:adjustRightInd w:val="0"/>
        <w:spacing w:beforeLines="0" w:afterLines="0" w:line="360" w:lineRule="auto"/>
        <w:ind w:firstLineChars="200" w:firstLine="480"/>
        <w:textAlignment w:val="baseline"/>
        <w:outlineLvl w:val="0"/>
        <w:rPr>
          <w:rFonts w:ascii="仿宋" w:eastAsia="仿宋" w:hAnsi="仿宋"/>
          <w:b w:val="0"/>
          <w:bCs w:val="0"/>
          <w:sz w:val="24"/>
          <w:szCs w:val="24"/>
        </w:rPr>
      </w:pPr>
      <w:bookmarkStart w:id="4" w:name="_Toc1069235193"/>
      <w:bookmarkEnd w:id="2"/>
      <w:r w:rsidRPr="00CF0F71">
        <w:rPr>
          <w:rFonts w:ascii="仿宋" w:eastAsia="仿宋" w:hAnsi="仿宋"/>
          <w:b w:val="0"/>
          <w:bCs w:val="0"/>
          <w:sz w:val="24"/>
          <w:szCs w:val="24"/>
        </w:rPr>
        <w:t>二、</w:t>
      </w:r>
      <w:bookmarkEnd w:id="3"/>
      <w:r w:rsidRPr="00CF0F71">
        <w:rPr>
          <w:rFonts w:ascii="仿宋" w:eastAsia="仿宋" w:hAnsi="仿宋"/>
          <w:b w:val="0"/>
          <w:bCs w:val="0"/>
          <w:sz w:val="24"/>
          <w:szCs w:val="24"/>
        </w:rPr>
        <w:t>服务一览表</w:t>
      </w:r>
      <w:bookmarkEnd w:id="4"/>
    </w:p>
    <w:p w:rsidR="00F35D62" w:rsidRPr="00CF0F71" w:rsidRDefault="00D455C8" w:rsidP="00CF0F71">
      <w:pPr>
        <w:spacing w:line="360" w:lineRule="auto"/>
        <w:ind w:firstLineChars="200" w:firstLine="480"/>
        <w:rPr>
          <w:rFonts w:ascii="仿宋" w:eastAsia="仿宋" w:hAnsi="仿宋"/>
          <w:sz w:val="24"/>
        </w:rPr>
      </w:pPr>
      <w:r w:rsidRPr="00CF0F71">
        <w:rPr>
          <w:rFonts w:ascii="仿宋" w:eastAsia="仿宋" w:hAnsi="仿宋" w:hint="eastAsia"/>
          <w:sz w:val="24"/>
        </w:rPr>
        <w:t>银行可付费使用跨境金融服务平台场景功能。中钞汇链公司将根据市场情况不断对场景功能进行动态优化和拓展，目前已提供15个场景功能，具体包括：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2030"/>
        <w:gridCol w:w="4802"/>
      </w:tblGrid>
      <w:tr w:rsidR="00F35D62" w:rsidRPr="00CF0F71">
        <w:trPr>
          <w:trHeight w:val="475"/>
          <w:jc w:val="center"/>
        </w:trPr>
        <w:tc>
          <w:tcPr>
            <w:tcW w:w="903" w:type="dxa"/>
            <w:vMerge w:val="restart"/>
            <w:tcBorders>
              <w:top w:val="single" w:sz="4" w:space="0" w:color="auto"/>
              <w:left w:val="single" w:sz="4" w:space="0" w:color="auto"/>
              <w:right w:val="single" w:sz="4" w:space="0" w:color="auto"/>
            </w:tcBorders>
            <w:shd w:val="clear" w:color="auto" w:fill="BFBFBF"/>
            <w:vAlign w:val="center"/>
          </w:tcPr>
          <w:p w:rsidR="00F35D62" w:rsidRPr="00CF0F71" w:rsidRDefault="00D455C8" w:rsidP="00CF0F71">
            <w:pPr>
              <w:spacing w:line="360" w:lineRule="auto"/>
              <w:jc w:val="center"/>
              <w:rPr>
                <w:rFonts w:ascii="仿宋" w:eastAsia="仿宋" w:hAnsi="仿宋"/>
                <w:bCs/>
                <w:sz w:val="24"/>
              </w:rPr>
            </w:pPr>
            <w:r w:rsidRPr="00CF0F71">
              <w:rPr>
                <w:rFonts w:ascii="仿宋" w:eastAsia="仿宋" w:hAnsi="仿宋"/>
                <w:bCs/>
                <w:sz w:val="24"/>
              </w:rPr>
              <w:t>序号</w:t>
            </w:r>
          </w:p>
        </w:tc>
        <w:tc>
          <w:tcPr>
            <w:tcW w:w="2030" w:type="dxa"/>
            <w:vMerge w:val="restart"/>
            <w:tcBorders>
              <w:top w:val="single" w:sz="4" w:space="0" w:color="auto"/>
              <w:left w:val="single" w:sz="4" w:space="0" w:color="auto"/>
              <w:right w:val="single" w:sz="4" w:space="0" w:color="auto"/>
            </w:tcBorders>
            <w:shd w:val="clear" w:color="auto" w:fill="BFBFBF"/>
            <w:vAlign w:val="center"/>
          </w:tcPr>
          <w:p w:rsidR="00F35D62" w:rsidRPr="00CF0F71" w:rsidRDefault="00D455C8" w:rsidP="00CF0F71">
            <w:pPr>
              <w:spacing w:line="360" w:lineRule="auto"/>
              <w:jc w:val="center"/>
              <w:rPr>
                <w:rFonts w:ascii="仿宋" w:eastAsia="仿宋" w:hAnsi="仿宋"/>
                <w:bCs/>
                <w:sz w:val="24"/>
              </w:rPr>
            </w:pPr>
            <w:r w:rsidRPr="00CF0F71">
              <w:rPr>
                <w:rFonts w:ascii="仿宋" w:eastAsia="仿宋" w:hAnsi="仿宋" w:hint="eastAsia"/>
                <w:bCs/>
                <w:sz w:val="24"/>
              </w:rPr>
              <w:t>场景名称</w:t>
            </w:r>
          </w:p>
        </w:tc>
        <w:tc>
          <w:tcPr>
            <w:tcW w:w="4802" w:type="dxa"/>
            <w:vMerge w:val="restart"/>
            <w:tcBorders>
              <w:top w:val="single" w:sz="4" w:space="0" w:color="auto"/>
              <w:left w:val="single" w:sz="4" w:space="0" w:color="auto"/>
              <w:right w:val="single" w:sz="4" w:space="0" w:color="auto"/>
            </w:tcBorders>
            <w:shd w:val="clear" w:color="auto" w:fill="BFBFBF"/>
            <w:vAlign w:val="center"/>
          </w:tcPr>
          <w:p w:rsidR="00F35D62" w:rsidRPr="00CF0F71" w:rsidRDefault="00D455C8" w:rsidP="00CF0F71">
            <w:pPr>
              <w:spacing w:line="360" w:lineRule="auto"/>
              <w:jc w:val="left"/>
              <w:rPr>
                <w:rFonts w:ascii="仿宋" w:eastAsia="仿宋" w:hAnsi="仿宋"/>
                <w:bCs/>
                <w:sz w:val="24"/>
              </w:rPr>
            </w:pPr>
            <w:r w:rsidRPr="00CF0F71">
              <w:rPr>
                <w:rFonts w:ascii="仿宋" w:eastAsia="仿宋" w:hAnsi="仿宋" w:hint="eastAsia"/>
                <w:bCs/>
                <w:sz w:val="24"/>
              </w:rPr>
              <w:t>服务内容</w:t>
            </w:r>
          </w:p>
        </w:tc>
      </w:tr>
      <w:tr w:rsidR="00F35D62" w:rsidRPr="00CF0F71">
        <w:trPr>
          <w:trHeight w:val="475"/>
          <w:jc w:val="center"/>
        </w:trPr>
        <w:tc>
          <w:tcPr>
            <w:tcW w:w="903" w:type="dxa"/>
            <w:vMerge/>
            <w:tcBorders>
              <w:left w:val="single" w:sz="4" w:space="0" w:color="auto"/>
              <w:bottom w:val="single" w:sz="4" w:space="0" w:color="auto"/>
              <w:right w:val="single" w:sz="4" w:space="0" w:color="auto"/>
            </w:tcBorders>
            <w:shd w:val="clear" w:color="auto" w:fill="BFBFBF"/>
          </w:tcPr>
          <w:p w:rsidR="00F35D62" w:rsidRPr="00CF0F71" w:rsidRDefault="00F35D62" w:rsidP="00CF0F71">
            <w:pPr>
              <w:spacing w:line="360" w:lineRule="auto"/>
              <w:jc w:val="center"/>
              <w:rPr>
                <w:rFonts w:ascii="仿宋" w:eastAsia="仿宋" w:hAnsi="仿宋"/>
                <w:sz w:val="24"/>
              </w:rPr>
            </w:pPr>
          </w:p>
        </w:tc>
        <w:tc>
          <w:tcPr>
            <w:tcW w:w="2030" w:type="dxa"/>
            <w:vMerge/>
            <w:tcBorders>
              <w:left w:val="single" w:sz="4" w:space="0" w:color="auto"/>
              <w:bottom w:val="single" w:sz="4" w:space="0" w:color="auto"/>
              <w:right w:val="single" w:sz="4" w:space="0" w:color="auto"/>
            </w:tcBorders>
            <w:shd w:val="clear" w:color="auto" w:fill="BFBFBF"/>
          </w:tcPr>
          <w:p w:rsidR="00F35D62" w:rsidRPr="00CF0F71" w:rsidRDefault="00F35D62" w:rsidP="00CF0F71">
            <w:pPr>
              <w:spacing w:line="360" w:lineRule="auto"/>
              <w:jc w:val="center"/>
              <w:rPr>
                <w:rFonts w:ascii="仿宋" w:eastAsia="仿宋" w:hAnsi="仿宋"/>
                <w:sz w:val="24"/>
              </w:rPr>
            </w:pPr>
          </w:p>
        </w:tc>
        <w:tc>
          <w:tcPr>
            <w:tcW w:w="4802" w:type="dxa"/>
            <w:vMerge/>
            <w:tcBorders>
              <w:left w:val="single" w:sz="4" w:space="0" w:color="auto"/>
              <w:bottom w:val="single" w:sz="4" w:space="0" w:color="auto"/>
              <w:right w:val="single" w:sz="4" w:space="0" w:color="auto"/>
            </w:tcBorders>
            <w:shd w:val="clear" w:color="auto" w:fill="BFBFBF"/>
          </w:tcPr>
          <w:p w:rsidR="00F35D62" w:rsidRPr="00CF0F71" w:rsidRDefault="00F35D62" w:rsidP="00CF0F71">
            <w:pPr>
              <w:spacing w:line="360" w:lineRule="auto"/>
              <w:jc w:val="left"/>
              <w:rPr>
                <w:rFonts w:ascii="仿宋" w:eastAsia="仿宋" w:hAnsi="仿宋"/>
                <w:sz w:val="24"/>
              </w:rPr>
            </w:pPr>
          </w:p>
        </w:tc>
      </w:tr>
      <w:tr w:rsidR="00F35D62" w:rsidRPr="00CF0F71">
        <w:trPr>
          <w:trHeight w:val="468"/>
          <w:jc w:val="center"/>
        </w:trPr>
        <w:tc>
          <w:tcPr>
            <w:tcW w:w="903" w:type="dxa"/>
            <w:vMerge w:val="restart"/>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t>1</w:t>
            </w:r>
          </w:p>
        </w:tc>
        <w:tc>
          <w:tcPr>
            <w:tcW w:w="2030" w:type="dxa"/>
            <w:vMerge w:val="restart"/>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t>出口应收账款融资业务场景（发货后）</w:t>
            </w:r>
          </w:p>
        </w:tc>
        <w:tc>
          <w:tcPr>
            <w:tcW w:w="4802" w:type="dxa"/>
            <w:vMerge w:val="restart"/>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left"/>
              <w:rPr>
                <w:rFonts w:ascii="仿宋" w:eastAsia="仿宋" w:hAnsi="仿宋"/>
                <w:sz w:val="24"/>
              </w:rPr>
            </w:pPr>
            <w:r w:rsidRPr="00CF0F71">
              <w:rPr>
                <w:rFonts w:ascii="仿宋" w:eastAsia="仿宋" w:hAnsi="仿宋"/>
                <w:sz w:val="24"/>
              </w:rPr>
              <w:t>为银行办理企业融资申请提供报关单真实性验证服务，同时提供报关单是否重复使用、是否超额融资等校验，作为银行审核融资项目的参考，在此基础上，银行再结合物流等其他单证，综合评估贸易融资背景，从而开展后续信贷审批等流程。</w:t>
            </w:r>
          </w:p>
        </w:tc>
      </w:tr>
      <w:tr w:rsidR="00F35D62" w:rsidRPr="00CF0F71">
        <w:trPr>
          <w:trHeight w:val="468"/>
          <w:jc w:val="center"/>
        </w:trPr>
        <w:tc>
          <w:tcPr>
            <w:tcW w:w="903" w:type="dxa"/>
            <w:vMerge/>
            <w:tcBorders>
              <w:left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2030" w:type="dxa"/>
            <w:vMerge/>
            <w:tcBorders>
              <w:left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4802" w:type="dxa"/>
            <w:vMerge/>
            <w:tcBorders>
              <w:left w:val="single" w:sz="4" w:space="0" w:color="auto"/>
              <w:right w:val="single" w:sz="4" w:space="0" w:color="auto"/>
            </w:tcBorders>
            <w:vAlign w:val="center"/>
          </w:tcPr>
          <w:p w:rsidR="00F35D62" w:rsidRPr="00CF0F71" w:rsidRDefault="00F35D62" w:rsidP="00CF0F71">
            <w:pPr>
              <w:spacing w:line="360" w:lineRule="auto"/>
              <w:jc w:val="left"/>
              <w:rPr>
                <w:rFonts w:ascii="仿宋" w:eastAsia="仿宋" w:hAnsi="仿宋"/>
                <w:sz w:val="24"/>
              </w:rPr>
            </w:pPr>
          </w:p>
        </w:tc>
      </w:tr>
      <w:tr w:rsidR="00F35D62" w:rsidRPr="00CF0F71">
        <w:trPr>
          <w:trHeight w:val="468"/>
          <w:jc w:val="center"/>
        </w:trPr>
        <w:tc>
          <w:tcPr>
            <w:tcW w:w="903"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2030"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4802"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left"/>
              <w:rPr>
                <w:rFonts w:ascii="仿宋" w:eastAsia="仿宋" w:hAnsi="仿宋"/>
                <w:sz w:val="24"/>
              </w:rPr>
            </w:pPr>
          </w:p>
        </w:tc>
      </w:tr>
      <w:tr w:rsidR="00F35D62" w:rsidRPr="00CF0F71">
        <w:trPr>
          <w:trHeight w:val="468"/>
          <w:jc w:val="center"/>
        </w:trPr>
        <w:tc>
          <w:tcPr>
            <w:tcW w:w="903" w:type="dxa"/>
            <w:vMerge w:val="restart"/>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t>2</w:t>
            </w:r>
          </w:p>
        </w:tc>
        <w:tc>
          <w:tcPr>
            <w:tcW w:w="2030" w:type="dxa"/>
            <w:vMerge w:val="restart"/>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cs="仿宋_GB2312" w:hint="eastAsia"/>
                <w:kern w:val="0"/>
                <w:sz w:val="24"/>
                <w:shd w:val="clear" w:color="auto" w:fill="FFFFFF"/>
              </w:rPr>
              <w:t>企业跨境信用信息授权查证业务场景</w:t>
            </w:r>
          </w:p>
        </w:tc>
        <w:tc>
          <w:tcPr>
            <w:tcW w:w="4802" w:type="dxa"/>
            <w:vMerge w:val="restart"/>
            <w:tcBorders>
              <w:top w:val="single" w:sz="4" w:space="0" w:color="auto"/>
              <w:left w:val="single" w:sz="4" w:space="0" w:color="auto"/>
              <w:right w:val="single" w:sz="4" w:space="0" w:color="auto"/>
            </w:tcBorders>
            <w:vAlign w:val="center"/>
          </w:tcPr>
          <w:p w:rsidR="00F35D62" w:rsidRPr="00CF0F71" w:rsidRDefault="00D455C8" w:rsidP="00CF0F71">
            <w:pPr>
              <w:pStyle w:val="13"/>
              <w:spacing w:line="360" w:lineRule="auto"/>
              <w:ind w:firstLine="0"/>
              <w:jc w:val="left"/>
              <w:rPr>
                <w:rFonts w:ascii="仿宋" w:eastAsia="仿宋" w:hAnsi="仿宋" w:cs="仿宋_GB2312"/>
                <w:kern w:val="0"/>
                <w:sz w:val="24"/>
                <w:szCs w:val="24"/>
                <w:shd w:val="clear" w:color="auto" w:fill="FFFFFF"/>
              </w:rPr>
            </w:pPr>
            <w:r w:rsidRPr="00CF0F71">
              <w:rPr>
                <w:rFonts w:ascii="仿宋" w:eastAsia="仿宋" w:hAnsi="仿宋" w:cs="仿宋_GB2312" w:hint="eastAsia"/>
                <w:kern w:val="0"/>
                <w:sz w:val="24"/>
                <w:szCs w:val="24"/>
                <w:shd w:val="clear" w:color="auto" w:fill="FFFFFF"/>
              </w:rPr>
              <w:t>在企业授权下，银行可查询该企业的基本信息、交易信用信息(如年度收付汇率、月度回款值等)、监管信用信息(如是否名录企业、企业类别等)，作为银行为企业授信或审核融</w:t>
            </w:r>
            <w:r w:rsidRPr="00CF0F71">
              <w:rPr>
                <w:rFonts w:ascii="仿宋" w:eastAsia="仿宋" w:hAnsi="仿宋" w:cs="仿宋_GB2312" w:hint="eastAsia"/>
                <w:kern w:val="0"/>
                <w:sz w:val="24"/>
                <w:szCs w:val="24"/>
                <w:shd w:val="clear" w:color="auto" w:fill="FFFFFF"/>
              </w:rPr>
              <w:lastRenderedPageBreak/>
              <w:t>资项目的参考信息。</w:t>
            </w:r>
          </w:p>
          <w:p w:rsidR="00F35D62" w:rsidRPr="00CF0F71" w:rsidRDefault="00F35D62" w:rsidP="00CF0F71">
            <w:pPr>
              <w:spacing w:line="360" w:lineRule="auto"/>
              <w:jc w:val="left"/>
              <w:rPr>
                <w:rFonts w:ascii="仿宋" w:eastAsia="仿宋" w:hAnsi="仿宋"/>
                <w:sz w:val="24"/>
              </w:rPr>
            </w:pPr>
          </w:p>
        </w:tc>
      </w:tr>
      <w:tr w:rsidR="00F35D62" w:rsidRPr="00CF0F71">
        <w:trPr>
          <w:trHeight w:val="468"/>
          <w:jc w:val="center"/>
        </w:trPr>
        <w:tc>
          <w:tcPr>
            <w:tcW w:w="903"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2030"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4802"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left"/>
              <w:rPr>
                <w:rFonts w:ascii="仿宋" w:eastAsia="仿宋" w:hAnsi="仿宋"/>
                <w:sz w:val="24"/>
              </w:rPr>
            </w:pPr>
          </w:p>
        </w:tc>
      </w:tr>
      <w:tr w:rsidR="00F35D62" w:rsidRPr="00CF0F71">
        <w:trPr>
          <w:trHeight w:val="468"/>
          <w:jc w:val="center"/>
        </w:trPr>
        <w:tc>
          <w:tcPr>
            <w:tcW w:w="903"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2030"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4802"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left"/>
              <w:rPr>
                <w:rFonts w:ascii="仿宋" w:eastAsia="仿宋" w:hAnsi="仿宋"/>
                <w:sz w:val="24"/>
              </w:rPr>
            </w:pPr>
          </w:p>
        </w:tc>
      </w:tr>
      <w:tr w:rsidR="00F35D62" w:rsidRPr="00CF0F71">
        <w:trPr>
          <w:trHeight w:val="468"/>
          <w:jc w:val="center"/>
        </w:trPr>
        <w:tc>
          <w:tcPr>
            <w:tcW w:w="903" w:type="dxa"/>
            <w:vMerge w:val="restart"/>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lastRenderedPageBreak/>
              <w:t>3</w:t>
            </w:r>
          </w:p>
        </w:tc>
        <w:tc>
          <w:tcPr>
            <w:tcW w:w="2030" w:type="dxa"/>
            <w:vMerge w:val="restart"/>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cs="仿宋_GB2312" w:hint="eastAsia"/>
                <w:kern w:val="0"/>
                <w:sz w:val="24"/>
                <w:shd w:val="clear" w:color="auto" w:fill="FFFFFF"/>
              </w:rPr>
              <w:t>西部陆海新通道物流融资结算业务场景</w:t>
            </w:r>
          </w:p>
        </w:tc>
        <w:tc>
          <w:tcPr>
            <w:tcW w:w="4802" w:type="dxa"/>
            <w:vMerge w:val="restart"/>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left"/>
              <w:rPr>
                <w:rFonts w:ascii="仿宋" w:eastAsia="仿宋" w:hAnsi="仿宋"/>
                <w:sz w:val="24"/>
              </w:rPr>
            </w:pPr>
            <w:r w:rsidRPr="00CF0F71">
              <w:rPr>
                <w:rFonts w:ascii="仿宋" w:eastAsia="仿宋" w:hAnsi="仿宋" w:cs="仿宋_GB2312" w:hint="eastAsia"/>
                <w:kern w:val="0"/>
                <w:sz w:val="24"/>
                <w:shd w:val="clear" w:color="auto" w:fill="FFFFFF"/>
              </w:rPr>
              <w:t>通过对接中新（重庆）南向通道物流数据平台、重庆市口岸物流办单一窗口数据平台，为南向通道物流体系内相关企业提供融资为主体功能的区块链业务系统，包括进出口贸易融资、物流运费融资等。</w:t>
            </w:r>
          </w:p>
        </w:tc>
      </w:tr>
      <w:tr w:rsidR="00F35D62" w:rsidRPr="00CF0F71">
        <w:trPr>
          <w:trHeight w:val="468"/>
          <w:jc w:val="center"/>
        </w:trPr>
        <w:tc>
          <w:tcPr>
            <w:tcW w:w="903"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2030"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4802"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left"/>
              <w:rPr>
                <w:rFonts w:ascii="仿宋" w:eastAsia="仿宋" w:hAnsi="仿宋"/>
                <w:sz w:val="24"/>
              </w:rPr>
            </w:pPr>
          </w:p>
        </w:tc>
      </w:tr>
      <w:tr w:rsidR="00F35D62" w:rsidRPr="00CF0F71">
        <w:trPr>
          <w:trHeight w:val="468"/>
          <w:jc w:val="center"/>
        </w:trPr>
        <w:tc>
          <w:tcPr>
            <w:tcW w:w="903"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2030"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4802"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left"/>
              <w:rPr>
                <w:rFonts w:ascii="仿宋" w:eastAsia="仿宋" w:hAnsi="仿宋"/>
                <w:sz w:val="24"/>
              </w:rPr>
            </w:pPr>
          </w:p>
        </w:tc>
      </w:tr>
      <w:tr w:rsidR="00F35D62" w:rsidRPr="00CF0F71">
        <w:trPr>
          <w:trHeight w:val="468"/>
          <w:jc w:val="center"/>
        </w:trPr>
        <w:tc>
          <w:tcPr>
            <w:tcW w:w="903" w:type="dxa"/>
            <w:vMerge w:val="restart"/>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t>4</w:t>
            </w:r>
          </w:p>
        </w:tc>
        <w:tc>
          <w:tcPr>
            <w:tcW w:w="2030" w:type="dxa"/>
            <w:vMerge w:val="restart"/>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cs="仿宋_GB2312" w:hint="eastAsia"/>
                <w:kern w:val="0"/>
                <w:sz w:val="24"/>
                <w:shd w:val="clear" w:color="auto" w:fill="FFFFFF"/>
              </w:rPr>
              <w:t>出口信保保单融资业务场景</w:t>
            </w:r>
          </w:p>
        </w:tc>
        <w:tc>
          <w:tcPr>
            <w:tcW w:w="4802" w:type="dxa"/>
            <w:vMerge w:val="restart"/>
            <w:tcBorders>
              <w:top w:val="single" w:sz="4" w:space="0" w:color="auto"/>
              <w:left w:val="single" w:sz="4" w:space="0" w:color="auto"/>
              <w:right w:val="single" w:sz="4" w:space="0" w:color="auto"/>
            </w:tcBorders>
            <w:vAlign w:val="center"/>
          </w:tcPr>
          <w:p w:rsidR="00F35D62" w:rsidRPr="00CF0F71" w:rsidRDefault="00D455C8" w:rsidP="00CF0F71">
            <w:pPr>
              <w:pStyle w:val="13"/>
              <w:spacing w:line="360" w:lineRule="auto"/>
              <w:ind w:firstLine="0"/>
              <w:jc w:val="left"/>
              <w:rPr>
                <w:rFonts w:ascii="仿宋" w:eastAsia="仿宋" w:hAnsi="仿宋" w:cs="仿宋_GB2312"/>
                <w:kern w:val="0"/>
                <w:sz w:val="24"/>
                <w:szCs w:val="24"/>
                <w:shd w:val="clear" w:color="auto" w:fill="FFFFFF"/>
              </w:rPr>
            </w:pPr>
            <w:r w:rsidRPr="00CF0F71">
              <w:rPr>
                <w:rFonts w:ascii="仿宋" w:eastAsia="仿宋" w:hAnsi="仿宋" w:cs="仿宋_GB2312" w:hint="eastAsia"/>
                <w:kern w:val="0"/>
                <w:sz w:val="24"/>
                <w:szCs w:val="24"/>
                <w:shd w:val="clear" w:color="auto" w:fill="FFFFFF"/>
              </w:rPr>
              <w:t>引入中国信保的保单、限额、赔款转让协议、承保通知书等信息，通过建立银行、保险、企业间的信息交换和核验机制，帮助银行快速完成融资核验，有效解决贸易融资真实性审核难、效率低等问题，显著提升保单融资便利化水平，降低企业融资成本。</w:t>
            </w:r>
          </w:p>
          <w:p w:rsidR="00F35D62" w:rsidRPr="00CF0F71" w:rsidRDefault="00F35D62" w:rsidP="00CF0F71">
            <w:pPr>
              <w:spacing w:line="360" w:lineRule="auto"/>
              <w:jc w:val="left"/>
              <w:rPr>
                <w:rFonts w:ascii="仿宋" w:eastAsia="仿宋" w:hAnsi="仿宋"/>
                <w:sz w:val="24"/>
              </w:rPr>
            </w:pPr>
          </w:p>
        </w:tc>
      </w:tr>
      <w:tr w:rsidR="00F35D62" w:rsidRPr="00CF0F71">
        <w:trPr>
          <w:trHeight w:val="468"/>
          <w:jc w:val="center"/>
        </w:trPr>
        <w:tc>
          <w:tcPr>
            <w:tcW w:w="903"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2030"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4802"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left"/>
              <w:rPr>
                <w:rFonts w:ascii="仿宋" w:eastAsia="仿宋" w:hAnsi="仿宋"/>
                <w:sz w:val="24"/>
              </w:rPr>
            </w:pPr>
          </w:p>
        </w:tc>
      </w:tr>
      <w:tr w:rsidR="00F35D62" w:rsidRPr="00CF0F71">
        <w:trPr>
          <w:trHeight w:val="1387"/>
          <w:jc w:val="center"/>
        </w:trPr>
        <w:tc>
          <w:tcPr>
            <w:tcW w:w="903"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2030"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4802" w:type="dxa"/>
            <w:vMerge/>
            <w:tcBorders>
              <w:left w:val="single" w:sz="4" w:space="0" w:color="auto"/>
              <w:bottom w:val="single" w:sz="4" w:space="0" w:color="auto"/>
              <w:right w:val="single" w:sz="4" w:space="0" w:color="auto"/>
            </w:tcBorders>
            <w:vAlign w:val="center"/>
          </w:tcPr>
          <w:p w:rsidR="00F35D62" w:rsidRPr="00CF0F71" w:rsidRDefault="00F35D62" w:rsidP="00CF0F71">
            <w:pPr>
              <w:spacing w:line="360" w:lineRule="auto"/>
              <w:jc w:val="left"/>
              <w:rPr>
                <w:rFonts w:ascii="仿宋" w:eastAsia="仿宋" w:hAnsi="仿宋"/>
                <w:sz w:val="24"/>
              </w:rPr>
            </w:pPr>
          </w:p>
        </w:tc>
      </w:tr>
      <w:tr w:rsidR="00F35D62" w:rsidRPr="00CF0F71">
        <w:trPr>
          <w:trHeight w:val="837"/>
          <w:jc w:val="center"/>
        </w:trPr>
        <w:tc>
          <w:tcPr>
            <w:tcW w:w="903"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t>5</w:t>
            </w:r>
          </w:p>
        </w:tc>
        <w:tc>
          <w:tcPr>
            <w:tcW w:w="2030"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cs="仿宋_GB2312" w:hint="eastAsia"/>
                <w:kern w:val="0"/>
                <w:sz w:val="24"/>
                <w:shd w:val="clear" w:color="auto" w:fill="FFFFFF"/>
              </w:rPr>
              <w:t>服务贸易税务备案电子化银行核验业务场景</w:t>
            </w:r>
          </w:p>
        </w:tc>
        <w:tc>
          <w:tcPr>
            <w:tcW w:w="4802" w:type="dxa"/>
            <w:tcBorders>
              <w:top w:val="single" w:sz="4" w:space="0" w:color="auto"/>
              <w:left w:val="single" w:sz="4" w:space="0" w:color="auto"/>
              <w:right w:val="single" w:sz="4" w:space="0" w:color="auto"/>
            </w:tcBorders>
            <w:vAlign w:val="center"/>
          </w:tcPr>
          <w:p w:rsidR="00F35D62" w:rsidRPr="00CF0F71" w:rsidRDefault="00D455C8" w:rsidP="00CF0F71">
            <w:pPr>
              <w:pStyle w:val="13"/>
              <w:spacing w:line="360" w:lineRule="auto"/>
              <w:ind w:firstLine="0"/>
              <w:jc w:val="left"/>
              <w:rPr>
                <w:rFonts w:ascii="仿宋" w:eastAsia="仿宋" w:hAnsi="仿宋" w:cs="仿宋_GB2312"/>
                <w:kern w:val="0"/>
                <w:sz w:val="24"/>
                <w:szCs w:val="24"/>
                <w:shd w:val="clear" w:color="auto" w:fill="FFFFFF"/>
              </w:rPr>
            </w:pPr>
            <w:r w:rsidRPr="00CF0F71">
              <w:rPr>
                <w:rFonts w:ascii="仿宋" w:eastAsia="仿宋" w:hAnsi="仿宋" w:cs="仿宋_GB2312" w:hint="eastAsia"/>
                <w:kern w:val="0"/>
                <w:sz w:val="24"/>
                <w:szCs w:val="24"/>
                <w:shd w:val="clear" w:color="auto" w:fill="FFFFFF"/>
              </w:rPr>
              <w:t>通过获取税务部门税务备案表电子数据，银行在链上完成服务贸易对外支付信息的核验核注，系统批量化自动验证。</w:t>
            </w:r>
          </w:p>
          <w:p w:rsidR="00F35D62" w:rsidRPr="00CF0F71" w:rsidRDefault="00F35D62" w:rsidP="00CF0F71">
            <w:pPr>
              <w:spacing w:line="360" w:lineRule="auto"/>
              <w:jc w:val="left"/>
              <w:rPr>
                <w:rFonts w:ascii="仿宋" w:eastAsia="仿宋" w:hAnsi="仿宋"/>
                <w:sz w:val="24"/>
              </w:rPr>
            </w:pPr>
          </w:p>
        </w:tc>
      </w:tr>
      <w:tr w:rsidR="00F35D62" w:rsidRPr="00CF0F71">
        <w:trPr>
          <w:trHeight w:val="947"/>
          <w:jc w:val="center"/>
        </w:trPr>
        <w:tc>
          <w:tcPr>
            <w:tcW w:w="903"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t>6</w:t>
            </w:r>
          </w:p>
        </w:tc>
        <w:tc>
          <w:tcPr>
            <w:tcW w:w="2030"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cs="仿宋_GB2312" w:hint="eastAsia"/>
                <w:kern w:val="0"/>
                <w:sz w:val="24"/>
                <w:shd w:val="clear" w:color="auto" w:fill="FFFFFF"/>
              </w:rPr>
              <w:t>资本项目收入支付便利化真实性审核业务场景</w:t>
            </w:r>
          </w:p>
        </w:tc>
        <w:tc>
          <w:tcPr>
            <w:tcW w:w="4802"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left"/>
              <w:rPr>
                <w:rFonts w:ascii="仿宋" w:eastAsia="仿宋" w:hAnsi="仿宋"/>
                <w:sz w:val="24"/>
              </w:rPr>
            </w:pPr>
            <w:r w:rsidRPr="00CF0F71">
              <w:rPr>
                <w:rFonts w:ascii="仿宋" w:eastAsia="仿宋" w:hAnsi="仿宋" w:hint="eastAsia"/>
                <w:sz w:val="24"/>
              </w:rPr>
              <w:t>通过建立银行、企业和监管部门间的业务信息交互核验机制，提升资本项目收入支付便利化事后审核效率和效果，有效解决银行审查企业发票信息履行真实合规要求的难题，帮助银行防范业务风险，促进资本项目收入支付便利化改革措施健康发展。</w:t>
            </w:r>
          </w:p>
        </w:tc>
      </w:tr>
      <w:tr w:rsidR="00F35D62" w:rsidRPr="00CF0F71">
        <w:trPr>
          <w:trHeight w:val="90"/>
          <w:jc w:val="center"/>
        </w:trPr>
        <w:tc>
          <w:tcPr>
            <w:tcW w:w="903"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t>7</w:t>
            </w:r>
          </w:p>
        </w:tc>
        <w:tc>
          <w:tcPr>
            <w:tcW w:w="2030"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cs="仿宋_GB2312" w:hint="eastAsia"/>
                <w:kern w:val="0"/>
                <w:sz w:val="24"/>
                <w:shd w:val="clear" w:color="auto" w:fill="FFFFFF"/>
              </w:rPr>
              <w:t>银企融资对接应用场景</w:t>
            </w:r>
          </w:p>
        </w:tc>
        <w:tc>
          <w:tcPr>
            <w:tcW w:w="4802" w:type="dxa"/>
            <w:tcBorders>
              <w:top w:val="single" w:sz="4" w:space="0" w:color="auto"/>
              <w:left w:val="single" w:sz="4" w:space="0" w:color="auto"/>
              <w:right w:val="single" w:sz="4" w:space="0" w:color="auto"/>
            </w:tcBorders>
            <w:vAlign w:val="center"/>
          </w:tcPr>
          <w:p w:rsidR="00F35D62" w:rsidRPr="00CF0F71" w:rsidRDefault="00D455C8" w:rsidP="00CF0F71">
            <w:pPr>
              <w:pStyle w:val="13"/>
              <w:spacing w:line="360" w:lineRule="auto"/>
              <w:ind w:firstLine="0"/>
              <w:jc w:val="left"/>
              <w:rPr>
                <w:rFonts w:ascii="仿宋" w:eastAsia="仿宋" w:hAnsi="仿宋"/>
                <w:sz w:val="24"/>
                <w:szCs w:val="24"/>
              </w:rPr>
            </w:pPr>
            <w:r w:rsidRPr="00CF0F71">
              <w:rPr>
                <w:rFonts w:ascii="仿宋" w:eastAsia="仿宋" w:hAnsi="仿宋" w:cs="仿宋_GB2312" w:hint="eastAsia"/>
                <w:kern w:val="0"/>
                <w:sz w:val="24"/>
                <w:szCs w:val="24"/>
                <w:shd w:val="clear" w:color="auto" w:fill="FFFFFF"/>
              </w:rPr>
              <w:t>借助区块链技术推动银企之间端对端可信信息交换，搭建银企“面对面”融资沟通桥梁；在获得企业授权情况下，向银行提供真实可靠的企业跨境信用数据，增信支持企业融资，实现金融资源配置精准化和价值最大化。</w:t>
            </w:r>
          </w:p>
        </w:tc>
      </w:tr>
      <w:tr w:rsidR="00F35D62" w:rsidRPr="00CF0F71">
        <w:trPr>
          <w:trHeight w:val="322"/>
          <w:jc w:val="center"/>
        </w:trPr>
        <w:tc>
          <w:tcPr>
            <w:tcW w:w="903"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lastRenderedPageBreak/>
              <w:t>8</w:t>
            </w:r>
          </w:p>
        </w:tc>
        <w:tc>
          <w:tcPr>
            <w:tcW w:w="2030"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cs="仿宋_GB2312" w:hint="eastAsia"/>
                <w:kern w:val="0"/>
                <w:sz w:val="24"/>
                <w:shd w:val="clear" w:color="auto" w:fill="FFFFFF"/>
              </w:rPr>
              <w:t>中欧班列长安号数字金融综合服务平台</w:t>
            </w:r>
          </w:p>
        </w:tc>
        <w:tc>
          <w:tcPr>
            <w:tcW w:w="4802"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left"/>
              <w:rPr>
                <w:rFonts w:ascii="仿宋" w:eastAsia="仿宋" w:hAnsi="仿宋"/>
                <w:sz w:val="24"/>
              </w:rPr>
            </w:pPr>
            <w:r w:rsidRPr="00CF0F71">
              <w:rPr>
                <w:rFonts w:ascii="仿宋" w:eastAsia="仿宋" w:hAnsi="仿宋" w:cs="仿宋_GB2312" w:hint="eastAsia"/>
                <w:kern w:val="0"/>
                <w:sz w:val="24"/>
                <w:shd w:val="clear" w:color="auto" w:fill="FFFFFF"/>
              </w:rPr>
              <w:t>基于中欧班列长安号现有的信息化资源，整合跨境金融区块链服务平台的金融机构资源，搭建中欧班列长安号数字金融综合服务平台，实现“长安号”相关企业开展轻资产信用贷、舱单融资、运单融资等业务，探索运用区块链、大数据等技术，减低企业融资成本，提升融资效率，缓解长安号平台企业资金垫付与“融资难”、“融资贵”的问题。</w:t>
            </w:r>
          </w:p>
        </w:tc>
      </w:tr>
      <w:tr w:rsidR="00F35D62" w:rsidRPr="00CF0F71">
        <w:trPr>
          <w:trHeight w:val="322"/>
          <w:jc w:val="center"/>
        </w:trPr>
        <w:tc>
          <w:tcPr>
            <w:tcW w:w="903"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t>9</w:t>
            </w:r>
          </w:p>
        </w:tc>
        <w:tc>
          <w:tcPr>
            <w:tcW w:w="2030"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cs="仿宋_GB2312" w:hint="eastAsia"/>
                <w:kern w:val="0"/>
                <w:sz w:val="24"/>
                <w:shd w:val="clear" w:color="auto" w:fill="FFFFFF"/>
              </w:rPr>
              <w:t>中欧班列齐鲁号融资</w:t>
            </w:r>
          </w:p>
        </w:tc>
        <w:tc>
          <w:tcPr>
            <w:tcW w:w="4802"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left"/>
              <w:rPr>
                <w:rFonts w:ascii="仿宋" w:eastAsia="仿宋" w:hAnsi="仿宋"/>
                <w:sz w:val="24"/>
              </w:rPr>
            </w:pPr>
            <w:r w:rsidRPr="00CF0F71">
              <w:rPr>
                <w:rFonts w:ascii="仿宋" w:eastAsia="仿宋" w:hAnsi="仿宋" w:cs="仿宋_GB2312" w:hint="eastAsia"/>
                <w:kern w:val="0"/>
                <w:sz w:val="24"/>
                <w:shd w:val="clear" w:color="auto" w:fill="FFFFFF"/>
              </w:rPr>
              <w:t>通过该场景，整合企业贸易、订舱、仓储、物流等信息， 实现企业融资申请、信息核验、额度审核、银行授信等一站式办理，助力缓解中欧班列相关货运代理企业及进出口企业融资难题。</w:t>
            </w:r>
          </w:p>
        </w:tc>
      </w:tr>
      <w:tr w:rsidR="00F35D62" w:rsidRPr="00CF0F71">
        <w:trPr>
          <w:trHeight w:val="322"/>
          <w:jc w:val="center"/>
        </w:trPr>
        <w:tc>
          <w:tcPr>
            <w:tcW w:w="903"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t>10</w:t>
            </w:r>
          </w:p>
        </w:tc>
        <w:tc>
          <w:tcPr>
            <w:tcW w:w="2030"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cs="仿宋_GB2312" w:hint="eastAsia"/>
                <w:kern w:val="0"/>
                <w:sz w:val="24"/>
                <w:shd w:val="clear" w:color="auto" w:fill="FFFFFF"/>
              </w:rPr>
              <w:t>境内运费外汇支付便利化</w:t>
            </w:r>
          </w:p>
        </w:tc>
        <w:tc>
          <w:tcPr>
            <w:tcW w:w="4802"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left"/>
              <w:rPr>
                <w:rFonts w:ascii="仿宋" w:eastAsia="仿宋" w:hAnsi="仿宋"/>
                <w:sz w:val="24"/>
              </w:rPr>
            </w:pPr>
            <w:r w:rsidRPr="00CF0F71">
              <w:rPr>
                <w:rFonts w:ascii="仿宋" w:eastAsia="仿宋" w:hAnsi="仿宋" w:cs="仿宋_GB2312" w:hint="eastAsia"/>
                <w:kern w:val="0"/>
                <w:sz w:val="24"/>
                <w:shd w:val="clear" w:color="auto" w:fill="FFFFFF"/>
              </w:rPr>
              <w:t>通过建立银行、企业、外汇、税务部门间的数据可信交换和有效核验，解决银行业务真实性审核难题，优化业务流程线上办理，便利企业境内运费外汇支付。</w:t>
            </w:r>
          </w:p>
        </w:tc>
      </w:tr>
      <w:tr w:rsidR="00F35D62" w:rsidRPr="00CF0F71">
        <w:trPr>
          <w:trHeight w:val="2054"/>
          <w:jc w:val="center"/>
        </w:trPr>
        <w:tc>
          <w:tcPr>
            <w:tcW w:w="903"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t>11</w:t>
            </w:r>
          </w:p>
        </w:tc>
        <w:tc>
          <w:tcPr>
            <w:tcW w:w="2030" w:type="dxa"/>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cs="仿宋_GB2312" w:hint="eastAsia"/>
                <w:kern w:val="0"/>
                <w:sz w:val="24"/>
                <w:shd w:val="clear" w:color="auto" w:fill="FFFFFF"/>
              </w:rPr>
              <w:t>北部湾“港航融”应用场景</w:t>
            </w:r>
          </w:p>
        </w:tc>
        <w:tc>
          <w:tcPr>
            <w:tcW w:w="4802" w:type="dxa"/>
            <w:tcBorders>
              <w:top w:val="single" w:sz="4" w:space="0" w:color="auto"/>
              <w:left w:val="single" w:sz="4" w:space="0" w:color="auto"/>
              <w:right w:val="single" w:sz="4" w:space="0" w:color="auto"/>
            </w:tcBorders>
            <w:vAlign w:val="center"/>
          </w:tcPr>
          <w:p w:rsidR="00F35D62" w:rsidRPr="00CF0F71" w:rsidRDefault="00D455C8" w:rsidP="00CF0F71">
            <w:pPr>
              <w:pStyle w:val="13"/>
              <w:spacing w:line="360" w:lineRule="auto"/>
              <w:ind w:firstLine="0"/>
              <w:jc w:val="left"/>
              <w:rPr>
                <w:rFonts w:ascii="仿宋" w:eastAsia="仿宋" w:hAnsi="仿宋"/>
                <w:sz w:val="24"/>
                <w:szCs w:val="24"/>
              </w:rPr>
            </w:pPr>
            <w:r w:rsidRPr="00CF0F71">
              <w:rPr>
                <w:rFonts w:ascii="仿宋" w:eastAsia="仿宋" w:hAnsi="仿宋" w:cs="仿宋_GB2312" w:hint="eastAsia"/>
                <w:kern w:val="0"/>
                <w:sz w:val="24"/>
                <w:szCs w:val="24"/>
                <w:shd w:val="clear" w:color="auto" w:fill="FFFFFF"/>
              </w:rPr>
              <w:t>对接广西“港航融”平台，引入运费发票、运输委托单、航运物流、提单、存货仓单等信息，为银行提供以海运数据为核心的贸易背景信息和便捷高效的业务真实性核验服务，帮助银行提升金融服务效能，有效服务货代、物流、进出口企业融资增信。</w:t>
            </w:r>
          </w:p>
        </w:tc>
      </w:tr>
      <w:tr w:rsidR="00F35D62" w:rsidRPr="00CF0F71">
        <w:trPr>
          <w:trHeight w:val="468"/>
          <w:jc w:val="center"/>
        </w:trPr>
        <w:tc>
          <w:tcPr>
            <w:tcW w:w="903" w:type="dxa"/>
            <w:vMerge w:val="restart"/>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t>12</w:t>
            </w:r>
          </w:p>
        </w:tc>
        <w:tc>
          <w:tcPr>
            <w:tcW w:w="2030" w:type="dxa"/>
            <w:vMerge w:val="restart"/>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cs="仿宋_GB2312" w:hint="eastAsia"/>
                <w:kern w:val="0"/>
                <w:sz w:val="24"/>
                <w:shd w:val="clear" w:color="auto" w:fill="FFFFFF"/>
              </w:rPr>
              <w:t>“港云仓”仓单融资</w:t>
            </w:r>
          </w:p>
        </w:tc>
        <w:tc>
          <w:tcPr>
            <w:tcW w:w="4802" w:type="dxa"/>
            <w:vMerge w:val="restart"/>
            <w:tcBorders>
              <w:top w:val="single" w:sz="4" w:space="0" w:color="auto"/>
              <w:left w:val="single" w:sz="4" w:space="0" w:color="auto"/>
              <w:right w:val="single" w:sz="4" w:space="0" w:color="auto"/>
            </w:tcBorders>
            <w:vAlign w:val="center"/>
          </w:tcPr>
          <w:p w:rsidR="00F35D62" w:rsidRPr="00CF0F71" w:rsidRDefault="00D455C8" w:rsidP="00CF0F71">
            <w:pPr>
              <w:spacing w:line="360" w:lineRule="auto"/>
              <w:jc w:val="left"/>
              <w:rPr>
                <w:rFonts w:ascii="仿宋" w:eastAsia="仿宋" w:hAnsi="仿宋"/>
                <w:sz w:val="24"/>
              </w:rPr>
            </w:pPr>
            <w:r w:rsidRPr="00CF0F71">
              <w:rPr>
                <w:rFonts w:ascii="仿宋" w:eastAsia="仿宋" w:hAnsi="仿宋" w:cs="仿宋_GB2312" w:hint="eastAsia"/>
                <w:kern w:val="0"/>
                <w:sz w:val="24"/>
                <w:shd w:val="clear" w:color="auto" w:fill="FFFFFF"/>
              </w:rPr>
              <w:t>对接山东港口集团“港云仓”电子仓单综合服务平台，引入了仓单、提单等信息，为银行提供仓单查验、质押控货、估值预警等贷前贷中贷后管理服务，能够帮助银行实现仓单质押全流程线上可溯可控，为涉外企业提供更高效的组合金融服务，有效盘活企业存</w:t>
            </w:r>
            <w:r w:rsidRPr="00CF0F71">
              <w:rPr>
                <w:rFonts w:ascii="仿宋" w:eastAsia="仿宋" w:hAnsi="仿宋" w:cs="仿宋_GB2312" w:hint="eastAsia"/>
                <w:kern w:val="0"/>
                <w:sz w:val="24"/>
                <w:shd w:val="clear" w:color="auto" w:fill="FFFFFF"/>
              </w:rPr>
              <w:lastRenderedPageBreak/>
              <w:t>货资产。</w:t>
            </w:r>
          </w:p>
        </w:tc>
      </w:tr>
      <w:tr w:rsidR="00F35D62" w:rsidRPr="00CF0F71">
        <w:trPr>
          <w:trHeight w:val="468"/>
          <w:jc w:val="center"/>
        </w:trPr>
        <w:tc>
          <w:tcPr>
            <w:tcW w:w="903" w:type="dxa"/>
            <w:vMerge/>
            <w:tcBorders>
              <w:left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2030" w:type="dxa"/>
            <w:vMerge/>
            <w:tcBorders>
              <w:left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cs="仿宋_GB2312"/>
                <w:kern w:val="0"/>
                <w:sz w:val="24"/>
                <w:shd w:val="clear" w:color="auto" w:fill="FFFFFF"/>
              </w:rPr>
            </w:pPr>
          </w:p>
        </w:tc>
        <w:tc>
          <w:tcPr>
            <w:tcW w:w="4802" w:type="dxa"/>
            <w:vMerge/>
            <w:tcBorders>
              <w:left w:val="single" w:sz="4" w:space="0" w:color="auto"/>
              <w:right w:val="single" w:sz="4" w:space="0" w:color="auto"/>
            </w:tcBorders>
            <w:vAlign w:val="center"/>
          </w:tcPr>
          <w:p w:rsidR="00F35D62" w:rsidRPr="00CF0F71" w:rsidRDefault="00F35D62" w:rsidP="00CF0F71">
            <w:pPr>
              <w:spacing w:line="360" w:lineRule="auto"/>
              <w:jc w:val="left"/>
              <w:rPr>
                <w:rFonts w:ascii="仿宋" w:eastAsia="仿宋" w:hAnsi="仿宋" w:cs="仿宋_GB2312"/>
                <w:kern w:val="0"/>
                <w:sz w:val="24"/>
                <w:shd w:val="clear" w:color="auto" w:fill="FFFFFF"/>
              </w:rPr>
            </w:pPr>
          </w:p>
        </w:tc>
      </w:tr>
      <w:tr w:rsidR="00F35D62" w:rsidRPr="00CF0F71">
        <w:trPr>
          <w:trHeight w:val="468"/>
          <w:jc w:val="center"/>
        </w:trPr>
        <w:tc>
          <w:tcPr>
            <w:tcW w:w="903" w:type="dxa"/>
            <w:vMerge/>
            <w:tcBorders>
              <w:left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sz w:val="24"/>
              </w:rPr>
            </w:pPr>
          </w:p>
        </w:tc>
        <w:tc>
          <w:tcPr>
            <w:tcW w:w="2030" w:type="dxa"/>
            <w:vMerge/>
            <w:tcBorders>
              <w:left w:val="single" w:sz="4" w:space="0" w:color="auto"/>
              <w:right w:val="single" w:sz="4" w:space="0" w:color="auto"/>
            </w:tcBorders>
            <w:vAlign w:val="center"/>
          </w:tcPr>
          <w:p w:rsidR="00F35D62" w:rsidRPr="00CF0F71" w:rsidRDefault="00F35D62" w:rsidP="00CF0F71">
            <w:pPr>
              <w:spacing w:line="360" w:lineRule="auto"/>
              <w:jc w:val="center"/>
              <w:rPr>
                <w:rFonts w:ascii="仿宋" w:eastAsia="仿宋" w:hAnsi="仿宋" w:cs="仿宋_GB2312"/>
                <w:kern w:val="0"/>
                <w:sz w:val="24"/>
                <w:shd w:val="clear" w:color="auto" w:fill="FFFFFF"/>
              </w:rPr>
            </w:pPr>
          </w:p>
        </w:tc>
        <w:tc>
          <w:tcPr>
            <w:tcW w:w="4802" w:type="dxa"/>
            <w:vMerge/>
            <w:tcBorders>
              <w:left w:val="single" w:sz="4" w:space="0" w:color="auto"/>
              <w:right w:val="single" w:sz="4" w:space="0" w:color="auto"/>
            </w:tcBorders>
            <w:vAlign w:val="center"/>
          </w:tcPr>
          <w:p w:rsidR="00F35D62" w:rsidRPr="00CF0F71" w:rsidRDefault="00F35D62" w:rsidP="00CF0F71">
            <w:pPr>
              <w:spacing w:line="360" w:lineRule="auto"/>
              <w:jc w:val="left"/>
              <w:rPr>
                <w:rFonts w:ascii="仿宋" w:eastAsia="仿宋" w:hAnsi="仿宋" w:cs="仿宋_GB2312"/>
                <w:kern w:val="0"/>
                <w:sz w:val="24"/>
                <w:shd w:val="clear" w:color="auto" w:fill="FFFFFF"/>
              </w:rPr>
            </w:pPr>
          </w:p>
        </w:tc>
      </w:tr>
      <w:tr w:rsidR="00F35D62" w:rsidRPr="00CF0F71">
        <w:trPr>
          <w:trHeight w:val="468"/>
          <w:jc w:val="center"/>
        </w:trPr>
        <w:tc>
          <w:tcPr>
            <w:tcW w:w="903" w:type="dxa"/>
            <w:vMerge/>
            <w:tcBorders>
              <w:left w:val="single" w:sz="4" w:space="0" w:color="auto"/>
              <w:right w:val="single" w:sz="4" w:space="0" w:color="auto"/>
            </w:tcBorders>
            <w:vAlign w:val="center"/>
          </w:tcPr>
          <w:p w:rsidR="00F35D62" w:rsidRPr="00CF0F71" w:rsidRDefault="00F35D62" w:rsidP="00CF0F71">
            <w:pPr>
              <w:numPr>
                <w:ilvl w:val="0"/>
                <w:numId w:val="1"/>
              </w:numPr>
              <w:spacing w:line="360" w:lineRule="auto"/>
              <w:jc w:val="center"/>
              <w:rPr>
                <w:rFonts w:ascii="仿宋" w:eastAsia="仿宋" w:hAnsi="仿宋"/>
                <w:sz w:val="24"/>
              </w:rPr>
            </w:pPr>
          </w:p>
        </w:tc>
        <w:tc>
          <w:tcPr>
            <w:tcW w:w="2030" w:type="dxa"/>
            <w:vMerge/>
            <w:tcBorders>
              <w:left w:val="single" w:sz="4" w:space="0" w:color="auto"/>
              <w:right w:val="single" w:sz="4" w:space="0" w:color="auto"/>
            </w:tcBorders>
            <w:vAlign w:val="center"/>
          </w:tcPr>
          <w:p w:rsidR="00F35D62" w:rsidRPr="00CF0F71" w:rsidRDefault="00F35D62" w:rsidP="00CF0F71">
            <w:pPr>
              <w:spacing w:line="360" w:lineRule="auto"/>
              <w:rPr>
                <w:rFonts w:ascii="仿宋" w:eastAsia="仿宋" w:hAnsi="仿宋"/>
                <w:sz w:val="24"/>
                <w:highlight w:val="yellow"/>
              </w:rPr>
            </w:pPr>
          </w:p>
        </w:tc>
        <w:tc>
          <w:tcPr>
            <w:tcW w:w="4802" w:type="dxa"/>
            <w:vMerge/>
            <w:tcBorders>
              <w:left w:val="single" w:sz="4" w:space="0" w:color="auto"/>
              <w:right w:val="single" w:sz="4" w:space="0" w:color="auto"/>
            </w:tcBorders>
            <w:vAlign w:val="center"/>
          </w:tcPr>
          <w:p w:rsidR="00F35D62" w:rsidRPr="00CF0F71" w:rsidRDefault="00F35D62" w:rsidP="00CF0F71">
            <w:pPr>
              <w:spacing w:line="360" w:lineRule="auto"/>
              <w:jc w:val="left"/>
              <w:rPr>
                <w:rFonts w:ascii="仿宋" w:eastAsia="仿宋" w:hAnsi="仿宋"/>
                <w:sz w:val="24"/>
                <w:highlight w:val="yellow"/>
              </w:rPr>
            </w:pPr>
          </w:p>
        </w:tc>
      </w:tr>
      <w:tr w:rsidR="00F35D62" w:rsidRPr="00CF0F71">
        <w:trPr>
          <w:trHeight w:val="468"/>
          <w:jc w:val="center"/>
        </w:trPr>
        <w:tc>
          <w:tcPr>
            <w:tcW w:w="903" w:type="dxa"/>
            <w:vMerge/>
            <w:tcBorders>
              <w:left w:val="single" w:sz="4" w:space="0" w:color="auto"/>
              <w:right w:val="single" w:sz="4" w:space="0" w:color="auto"/>
            </w:tcBorders>
            <w:vAlign w:val="center"/>
          </w:tcPr>
          <w:p w:rsidR="00F35D62" w:rsidRPr="00CF0F71" w:rsidRDefault="00F35D62" w:rsidP="00CF0F71">
            <w:pPr>
              <w:numPr>
                <w:ilvl w:val="0"/>
                <w:numId w:val="1"/>
              </w:numPr>
              <w:spacing w:line="360" w:lineRule="auto"/>
              <w:jc w:val="center"/>
              <w:rPr>
                <w:rFonts w:ascii="仿宋" w:eastAsia="仿宋" w:hAnsi="仿宋"/>
                <w:sz w:val="24"/>
              </w:rPr>
            </w:pPr>
          </w:p>
        </w:tc>
        <w:tc>
          <w:tcPr>
            <w:tcW w:w="2030" w:type="dxa"/>
            <w:vMerge/>
            <w:tcBorders>
              <w:left w:val="single" w:sz="4" w:space="0" w:color="auto"/>
              <w:right w:val="single" w:sz="4" w:space="0" w:color="auto"/>
            </w:tcBorders>
            <w:vAlign w:val="center"/>
          </w:tcPr>
          <w:p w:rsidR="00F35D62" w:rsidRPr="00CF0F71" w:rsidRDefault="00F35D62" w:rsidP="00CF0F71">
            <w:pPr>
              <w:spacing w:line="360" w:lineRule="auto"/>
              <w:rPr>
                <w:rFonts w:ascii="仿宋" w:eastAsia="仿宋" w:hAnsi="仿宋"/>
                <w:sz w:val="24"/>
                <w:highlight w:val="yellow"/>
              </w:rPr>
            </w:pPr>
          </w:p>
        </w:tc>
        <w:tc>
          <w:tcPr>
            <w:tcW w:w="4802" w:type="dxa"/>
            <w:vMerge/>
            <w:tcBorders>
              <w:left w:val="single" w:sz="4" w:space="0" w:color="auto"/>
              <w:right w:val="single" w:sz="4" w:space="0" w:color="auto"/>
            </w:tcBorders>
            <w:vAlign w:val="center"/>
          </w:tcPr>
          <w:p w:rsidR="00F35D62" w:rsidRPr="00CF0F71" w:rsidRDefault="00F35D62" w:rsidP="00CF0F71">
            <w:pPr>
              <w:spacing w:line="360" w:lineRule="auto"/>
              <w:jc w:val="left"/>
              <w:rPr>
                <w:rFonts w:ascii="仿宋" w:eastAsia="仿宋" w:hAnsi="仿宋"/>
                <w:sz w:val="24"/>
                <w:highlight w:val="yellow"/>
              </w:rPr>
            </w:pPr>
          </w:p>
        </w:tc>
      </w:tr>
      <w:tr w:rsidR="00F35D62" w:rsidRPr="00CF0F71">
        <w:trPr>
          <w:trHeight w:val="332"/>
          <w:jc w:val="center"/>
        </w:trPr>
        <w:tc>
          <w:tcPr>
            <w:tcW w:w="903" w:type="dxa"/>
            <w:tcBorders>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lastRenderedPageBreak/>
              <w:t>13</w:t>
            </w:r>
          </w:p>
        </w:tc>
        <w:tc>
          <w:tcPr>
            <w:tcW w:w="2030" w:type="dxa"/>
            <w:tcBorders>
              <w:left w:val="single" w:sz="4" w:space="0" w:color="auto"/>
              <w:right w:val="single" w:sz="4" w:space="0" w:color="auto"/>
            </w:tcBorders>
            <w:vAlign w:val="center"/>
          </w:tcPr>
          <w:p w:rsidR="00F35D62" w:rsidRPr="00CF0F71" w:rsidRDefault="00D455C8" w:rsidP="00CF0F71">
            <w:pPr>
              <w:spacing w:line="360" w:lineRule="auto"/>
              <w:rPr>
                <w:rFonts w:ascii="仿宋" w:eastAsia="仿宋" w:hAnsi="仿宋"/>
                <w:sz w:val="24"/>
                <w:highlight w:val="yellow"/>
              </w:rPr>
            </w:pPr>
            <w:r w:rsidRPr="00CF0F71">
              <w:rPr>
                <w:rFonts w:ascii="仿宋" w:eastAsia="仿宋" w:hAnsi="仿宋" w:cs="仿宋_GB2312" w:hint="eastAsia"/>
                <w:kern w:val="0"/>
                <w:sz w:val="24"/>
                <w:shd w:val="clear" w:color="auto" w:fill="FFFFFF"/>
              </w:rPr>
              <w:t>企业汇率风险管理服务</w:t>
            </w:r>
          </w:p>
        </w:tc>
        <w:tc>
          <w:tcPr>
            <w:tcW w:w="4802" w:type="dxa"/>
            <w:tcBorders>
              <w:left w:val="single" w:sz="4" w:space="0" w:color="auto"/>
              <w:right w:val="single" w:sz="4" w:space="0" w:color="auto"/>
            </w:tcBorders>
            <w:vAlign w:val="center"/>
          </w:tcPr>
          <w:p w:rsidR="00F35D62" w:rsidRPr="00CF0F71" w:rsidRDefault="00D455C8" w:rsidP="00CF0F71">
            <w:pPr>
              <w:pStyle w:val="13"/>
              <w:spacing w:line="360" w:lineRule="auto"/>
              <w:ind w:firstLine="0"/>
              <w:jc w:val="left"/>
              <w:rPr>
                <w:rFonts w:ascii="仿宋" w:eastAsia="仿宋" w:hAnsi="仿宋"/>
                <w:sz w:val="24"/>
                <w:szCs w:val="24"/>
                <w:highlight w:val="yellow"/>
              </w:rPr>
            </w:pPr>
            <w:r w:rsidRPr="00CF0F71">
              <w:rPr>
                <w:rFonts w:ascii="仿宋" w:eastAsia="仿宋" w:hAnsi="仿宋" w:cs="仿宋_GB2312" w:hint="eastAsia"/>
                <w:kern w:val="0"/>
                <w:sz w:val="24"/>
                <w:szCs w:val="24"/>
                <w:shd w:val="clear" w:color="auto" w:fill="FFFFFF"/>
              </w:rPr>
              <w:t>为银行提供企业收付汇、结售汇、平台上历史衍生品签约信息及履约情况，助力银行在对衍生品业务的审核中，合理评估业务规模，防控业务风险，同时便利企业合理制订人民币对外汇衍生品方案，降低汇率风险。</w:t>
            </w:r>
          </w:p>
        </w:tc>
      </w:tr>
      <w:tr w:rsidR="00F35D62" w:rsidRPr="00CF0F71">
        <w:trPr>
          <w:trHeight w:val="332"/>
          <w:jc w:val="center"/>
        </w:trPr>
        <w:tc>
          <w:tcPr>
            <w:tcW w:w="903" w:type="dxa"/>
            <w:tcBorders>
              <w:left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t>14</w:t>
            </w:r>
          </w:p>
        </w:tc>
        <w:tc>
          <w:tcPr>
            <w:tcW w:w="2030" w:type="dxa"/>
            <w:tcBorders>
              <w:left w:val="single" w:sz="4" w:space="0" w:color="auto"/>
              <w:right w:val="single" w:sz="4" w:space="0" w:color="auto"/>
            </w:tcBorders>
            <w:vAlign w:val="center"/>
          </w:tcPr>
          <w:p w:rsidR="00F35D62" w:rsidRPr="00CF0F71" w:rsidRDefault="00D455C8" w:rsidP="00CF0F71">
            <w:pPr>
              <w:spacing w:line="360" w:lineRule="auto"/>
              <w:rPr>
                <w:rFonts w:ascii="仿宋" w:eastAsia="仿宋" w:hAnsi="仿宋"/>
                <w:sz w:val="24"/>
                <w:highlight w:val="yellow"/>
              </w:rPr>
            </w:pPr>
            <w:r w:rsidRPr="00CF0F71">
              <w:rPr>
                <w:rFonts w:ascii="仿宋" w:eastAsia="仿宋" w:hAnsi="仿宋" w:cs="仿宋_GB2312" w:hint="eastAsia"/>
                <w:kern w:val="0"/>
                <w:sz w:val="24"/>
                <w:shd w:val="clear" w:color="auto" w:fill="FFFFFF"/>
              </w:rPr>
              <w:t>离岸贸易场景</w:t>
            </w:r>
          </w:p>
        </w:tc>
        <w:tc>
          <w:tcPr>
            <w:tcW w:w="4802" w:type="dxa"/>
            <w:tcBorders>
              <w:left w:val="single" w:sz="4" w:space="0" w:color="auto"/>
              <w:right w:val="single" w:sz="4" w:space="0" w:color="auto"/>
            </w:tcBorders>
            <w:vAlign w:val="center"/>
          </w:tcPr>
          <w:p w:rsidR="00F35D62" w:rsidRPr="00CF0F71" w:rsidRDefault="00D455C8" w:rsidP="00CF0F71">
            <w:pPr>
              <w:pStyle w:val="13"/>
              <w:spacing w:line="360" w:lineRule="auto"/>
              <w:ind w:firstLine="0"/>
              <w:jc w:val="left"/>
              <w:rPr>
                <w:rFonts w:ascii="仿宋" w:eastAsia="仿宋" w:hAnsi="仿宋"/>
                <w:sz w:val="24"/>
                <w:szCs w:val="24"/>
                <w:highlight w:val="yellow"/>
              </w:rPr>
            </w:pPr>
            <w:r w:rsidRPr="00CF0F71">
              <w:rPr>
                <w:rFonts w:ascii="仿宋" w:eastAsia="仿宋" w:hAnsi="仿宋" w:cs="仿宋_GB2312" w:hint="eastAsia"/>
                <w:kern w:val="0"/>
                <w:sz w:val="24"/>
                <w:szCs w:val="24"/>
                <w:shd w:val="clear" w:color="auto" w:fill="FFFFFF"/>
              </w:rPr>
              <w:t>通过对接上海自贸区“离岸通”平台，引入国际货物运输、境外港口装卸、境外海关报关等物流数据，为银行提供物流信息核验、单据签注等功能，帮助银行拓宽贸易背景信息来源，助力破解新型离岸国际贸易真实性审核难题。</w:t>
            </w:r>
          </w:p>
        </w:tc>
      </w:tr>
      <w:tr w:rsidR="00F35D62" w:rsidRPr="00CF0F71">
        <w:trPr>
          <w:trHeight w:val="332"/>
          <w:jc w:val="center"/>
        </w:trPr>
        <w:tc>
          <w:tcPr>
            <w:tcW w:w="903" w:type="dxa"/>
            <w:tcBorders>
              <w:left w:val="single" w:sz="4" w:space="0" w:color="auto"/>
              <w:bottom w:val="single" w:sz="4" w:space="0" w:color="auto"/>
              <w:right w:val="single" w:sz="4" w:space="0" w:color="auto"/>
            </w:tcBorders>
            <w:vAlign w:val="center"/>
          </w:tcPr>
          <w:p w:rsidR="00F35D62" w:rsidRPr="00CF0F71" w:rsidRDefault="00D455C8" w:rsidP="00CF0F71">
            <w:pPr>
              <w:spacing w:line="360" w:lineRule="auto"/>
              <w:jc w:val="center"/>
              <w:rPr>
                <w:rFonts w:ascii="仿宋" w:eastAsia="仿宋" w:hAnsi="仿宋"/>
                <w:sz w:val="24"/>
              </w:rPr>
            </w:pPr>
            <w:r w:rsidRPr="00CF0F71">
              <w:rPr>
                <w:rFonts w:ascii="仿宋" w:eastAsia="仿宋" w:hAnsi="仿宋" w:hint="eastAsia"/>
                <w:sz w:val="24"/>
              </w:rPr>
              <w:t>15</w:t>
            </w:r>
          </w:p>
        </w:tc>
        <w:tc>
          <w:tcPr>
            <w:tcW w:w="2030" w:type="dxa"/>
            <w:tcBorders>
              <w:left w:val="single" w:sz="4" w:space="0" w:color="auto"/>
              <w:bottom w:val="single" w:sz="4" w:space="0" w:color="auto"/>
              <w:right w:val="single" w:sz="4" w:space="0" w:color="auto"/>
            </w:tcBorders>
            <w:vAlign w:val="center"/>
          </w:tcPr>
          <w:p w:rsidR="00F35D62" w:rsidRPr="00CF0F71" w:rsidRDefault="00D455C8" w:rsidP="00CF0F71">
            <w:pPr>
              <w:spacing w:line="360" w:lineRule="auto"/>
              <w:rPr>
                <w:rFonts w:ascii="仿宋" w:eastAsia="仿宋" w:hAnsi="仿宋"/>
                <w:sz w:val="24"/>
                <w:highlight w:val="yellow"/>
              </w:rPr>
            </w:pPr>
            <w:r w:rsidRPr="00CF0F71">
              <w:rPr>
                <w:rFonts w:ascii="仿宋" w:eastAsia="仿宋" w:hAnsi="仿宋" w:cs="仿宋_GB2312" w:hint="eastAsia"/>
                <w:kern w:val="0"/>
                <w:sz w:val="24"/>
                <w:shd w:val="clear" w:color="auto" w:fill="FFFFFF"/>
              </w:rPr>
              <w:t>保税核注清单融资结算场景</w:t>
            </w:r>
          </w:p>
        </w:tc>
        <w:tc>
          <w:tcPr>
            <w:tcW w:w="4802" w:type="dxa"/>
            <w:tcBorders>
              <w:left w:val="single" w:sz="4" w:space="0" w:color="auto"/>
              <w:bottom w:val="single" w:sz="4" w:space="0" w:color="auto"/>
              <w:right w:val="single" w:sz="4" w:space="0" w:color="auto"/>
            </w:tcBorders>
            <w:vAlign w:val="center"/>
          </w:tcPr>
          <w:p w:rsidR="00F35D62" w:rsidRPr="00CF0F71" w:rsidRDefault="00D455C8" w:rsidP="00CF0F71">
            <w:pPr>
              <w:pStyle w:val="13"/>
              <w:spacing w:line="360" w:lineRule="auto"/>
              <w:ind w:firstLine="0"/>
              <w:jc w:val="left"/>
              <w:rPr>
                <w:rFonts w:ascii="仿宋" w:eastAsia="仿宋" w:hAnsi="仿宋"/>
                <w:sz w:val="24"/>
                <w:szCs w:val="24"/>
                <w:highlight w:val="yellow"/>
              </w:rPr>
            </w:pPr>
            <w:r w:rsidRPr="00CF0F71">
              <w:rPr>
                <w:rFonts w:ascii="仿宋" w:eastAsia="仿宋" w:hAnsi="仿宋" w:cs="仿宋_GB2312" w:hint="eastAsia"/>
                <w:kern w:val="0"/>
                <w:sz w:val="24"/>
                <w:szCs w:val="24"/>
                <w:shd w:val="clear" w:color="auto" w:fill="FFFFFF"/>
              </w:rPr>
              <w:t>为银行提供有效的保税核注清单电子化核验渠道，提高审核效率，防范单据重复使用。</w:t>
            </w:r>
          </w:p>
        </w:tc>
      </w:tr>
    </w:tbl>
    <w:p w:rsidR="00F35D62" w:rsidRPr="00CF0F71" w:rsidRDefault="00D455C8" w:rsidP="00CF0F71">
      <w:pPr>
        <w:spacing w:line="360" w:lineRule="auto"/>
        <w:ind w:firstLineChars="200" w:firstLine="480"/>
        <w:rPr>
          <w:rFonts w:ascii="仿宋" w:eastAsia="仿宋" w:hAnsi="仿宋" w:cs="仿宋_GB2312"/>
          <w:sz w:val="24"/>
        </w:rPr>
      </w:pPr>
      <w:r w:rsidRPr="00CF0F71">
        <w:rPr>
          <w:rFonts w:ascii="仿宋" w:eastAsia="仿宋" w:hAnsi="仿宋" w:cs="仿宋_GB2312" w:hint="eastAsia"/>
          <w:sz w:val="24"/>
        </w:rPr>
        <w:t>除提供上述支持场景外，还提供业务场景需求对接、平台项目基础设施升级、平台项目软件技术升级、平台项目日常运行保障、用户培训和手册编写、用户端部署和业务技术支持、平台项目运营分析等服务。</w:t>
      </w:r>
    </w:p>
    <w:p w:rsidR="00F35D62" w:rsidRPr="00CF0F71" w:rsidRDefault="00D455C8" w:rsidP="00CF0F71">
      <w:pPr>
        <w:pStyle w:val="a9"/>
        <w:adjustRightInd w:val="0"/>
        <w:spacing w:beforeLines="0" w:afterLines="0" w:line="360" w:lineRule="auto"/>
        <w:ind w:firstLineChars="200" w:firstLine="480"/>
        <w:textAlignment w:val="baseline"/>
        <w:outlineLvl w:val="0"/>
        <w:rPr>
          <w:rFonts w:ascii="仿宋" w:eastAsia="仿宋" w:hAnsi="仿宋"/>
          <w:b w:val="0"/>
          <w:bCs w:val="0"/>
          <w:sz w:val="24"/>
          <w:szCs w:val="24"/>
        </w:rPr>
      </w:pPr>
      <w:bookmarkStart w:id="5" w:name="_Toc109064269"/>
      <w:r w:rsidRPr="00CF0F71">
        <w:rPr>
          <w:rFonts w:ascii="仿宋" w:eastAsia="仿宋" w:hAnsi="仿宋" w:hint="eastAsia"/>
          <w:b w:val="0"/>
          <w:bCs w:val="0"/>
          <w:sz w:val="24"/>
          <w:szCs w:val="24"/>
        </w:rPr>
        <w:t>三</w:t>
      </w:r>
      <w:r w:rsidRPr="00CF0F71">
        <w:rPr>
          <w:rFonts w:ascii="仿宋" w:eastAsia="仿宋" w:hAnsi="仿宋"/>
          <w:b w:val="0"/>
          <w:bCs w:val="0"/>
          <w:sz w:val="24"/>
          <w:szCs w:val="24"/>
        </w:rPr>
        <w:t>、交付或实施时间、地点</w:t>
      </w:r>
      <w:bookmarkEnd w:id="5"/>
    </w:p>
    <w:p w:rsidR="00F35D62" w:rsidRPr="00CF0F71" w:rsidRDefault="00D455C8" w:rsidP="00CF0F71">
      <w:pPr>
        <w:adjustRightInd w:val="0"/>
        <w:spacing w:line="360" w:lineRule="auto"/>
        <w:ind w:firstLineChars="200" w:firstLine="480"/>
        <w:textAlignment w:val="baseline"/>
        <w:rPr>
          <w:rFonts w:ascii="仿宋" w:eastAsia="仿宋" w:hAnsi="仿宋"/>
          <w:sz w:val="24"/>
        </w:rPr>
      </w:pPr>
      <w:r w:rsidRPr="00CF0F71">
        <w:rPr>
          <w:rFonts w:ascii="仿宋" w:eastAsia="仿宋" w:hAnsi="仿宋" w:hint="eastAsia"/>
          <w:sz w:val="24"/>
        </w:rPr>
        <w:t>（一）</w:t>
      </w:r>
      <w:r w:rsidRPr="00CF0F71">
        <w:rPr>
          <w:rFonts w:ascii="仿宋" w:eastAsia="仿宋" w:hAnsi="仿宋"/>
          <w:sz w:val="24"/>
        </w:rPr>
        <w:t>项目周期：自合同签订之日起3年。</w:t>
      </w:r>
    </w:p>
    <w:p w:rsidR="00F35D62" w:rsidRPr="00CF0F71" w:rsidRDefault="00D455C8" w:rsidP="00CF0F71">
      <w:pPr>
        <w:adjustRightInd w:val="0"/>
        <w:spacing w:line="360" w:lineRule="auto"/>
        <w:ind w:firstLineChars="200" w:firstLine="480"/>
        <w:textAlignment w:val="baseline"/>
        <w:rPr>
          <w:rFonts w:ascii="仿宋" w:eastAsia="仿宋" w:hAnsi="仿宋"/>
          <w:sz w:val="24"/>
        </w:rPr>
      </w:pPr>
      <w:r w:rsidRPr="00CF0F71">
        <w:rPr>
          <w:rFonts w:ascii="仿宋" w:eastAsia="仿宋" w:hAnsi="仿宋" w:hint="eastAsia"/>
          <w:sz w:val="24"/>
        </w:rPr>
        <w:t>（二）</w:t>
      </w:r>
      <w:r w:rsidRPr="00CF0F71">
        <w:rPr>
          <w:rFonts w:ascii="仿宋" w:eastAsia="仿宋" w:hAnsi="仿宋"/>
          <w:sz w:val="24"/>
        </w:rPr>
        <w:t>服务地点</w:t>
      </w:r>
      <w:r w:rsidRPr="00CF0F71">
        <w:rPr>
          <w:rFonts w:ascii="仿宋" w:eastAsia="仿宋" w:hAnsi="仿宋" w:hint="eastAsia"/>
          <w:sz w:val="24"/>
        </w:rPr>
        <w:t>：中国进出口银行</w:t>
      </w:r>
      <w:r w:rsidRPr="00CF0F71">
        <w:rPr>
          <w:rFonts w:ascii="仿宋" w:eastAsia="仿宋" w:hAnsi="仿宋"/>
          <w:sz w:val="24"/>
        </w:rPr>
        <w:t>。</w:t>
      </w:r>
    </w:p>
    <w:sectPr w:rsidR="00F35D62" w:rsidRPr="00CF0F71" w:rsidSect="00F35D62">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84C" w:rsidRDefault="0090484C" w:rsidP="00F35D62">
      <w:r>
        <w:separator/>
      </w:r>
    </w:p>
  </w:endnote>
  <w:endnote w:type="continuationSeparator" w:id="0">
    <w:p w:rsidR="0090484C" w:rsidRDefault="0090484C" w:rsidP="00F35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隶书">
    <w:altName w:val="宋体"/>
    <w:panose1 w:val="0201050906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D62" w:rsidRDefault="00114095">
    <w:pPr>
      <w:pStyle w:val="a7"/>
    </w:pPr>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filled="f" stroked="f" strokeweight=".5pt">
          <v:textbox style="mso-fit-shape-to-text:t" inset="0,0,0,0">
            <w:txbxContent>
              <w:p w:rsidR="00F35D62" w:rsidRDefault="00114095">
                <w:pPr>
                  <w:pStyle w:val="a7"/>
                </w:pPr>
                <w:r>
                  <w:fldChar w:fldCharType="begin"/>
                </w:r>
                <w:r w:rsidR="00D455C8">
                  <w:instrText xml:space="preserve"> PAGE  \* MERGEFORMAT </w:instrText>
                </w:r>
                <w:r>
                  <w:fldChar w:fldCharType="separate"/>
                </w:r>
                <w:r w:rsidR="007D0EE0">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84C" w:rsidRDefault="0090484C" w:rsidP="00F35D62">
      <w:r>
        <w:separator/>
      </w:r>
    </w:p>
  </w:footnote>
  <w:footnote w:type="continuationSeparator" w:id="0">
    <w:p w:rsidR="0090484C" w:rsidRDefault="0090484C" w:rsidP="00F35D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23192"/>
    <w:multiLevelType w:val="multilevel"/>
    <w:tmpl w:val="4192319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AwYzYyZTVlMWNlODlkMDk4MDljNmIxNzNmMTM2OGQifQ=="/>
  </w:docVars>
  <w:rsids>
    <w:rsidRoot w:val="0092543F"/>
    <w:rsid w:val="FBBF14BD"/>
    <w:rsid w:val="FBE56670"/>
    <w:rsid w:val="000659A1"/>
    <w:rsid w:val="0009713E"/>
    <w:rsid w:val="0009758E"/>
    <w:rsid w:val="00114095"/>
    <w:rsid w:val="00134586"/>
    <w:rsid w:val="001D4A59"/>
    <w:rsid w:val="0021470B"/>
    <w:rsid w:val="00264F28"/>
    <w:rsid w:val="002A1129"/>
    <w:rsid w:val="00505379"/>
    <w:rsid w:val="005B2957"/>
    <w:rsid w:val="005C5C54"/>
    <w:rsid w:val="00674B62"/>
    <w:rsid w:val="0070007B"/>
    <w:rsid w:val="007D0EE0"/>
    <w:rsid w:val="008100DC"/>
    <w:rsid w:val="008D5A6B"/>
    <w:rsid w:val="008E4DE5"/>
    <w:rsid w:val="0090484C"/>
    <w:rsid w:val="0092543F"/>
    <w:rsid w:val="009352E5"/>
    <w:rsid w:val="00A17AE3"/>
    <w:rsid w:val="00B0713A"/>
    <w:rsid w:val="00CF07EB"/>
    <w:rsid w:val="00CF0F71"/>
    <w:rsid w:val="00D4117C"/>
    <w:rsid w:val="00D455C8"/>
    <w:rsid w:val="00DF0056"/>
    <w:rsid w:val="00E35537"/>
    <w:rsid w:val="00E87DF9"/>
    <w:rsid w:val="00EA69D6"/>
    <w:rsid w:val="00EB2473"/>
    <w:rsid w:val="00F35D62"/>
    <w:rsid w:val="00F63F32"/>
    <w:rsid w:val="00F74D9A"/>
    <w:rsid w:val="010121B4"/>
    <w:rsid w:val="010E72CB"/>
    <w:rsid w:val="01253A8E"/>
    <w:rsid w:val="013220E3"/>
    <w:rsid w:val="01E75148"/>
    <w:rsid w:val="01FF73FD"/>
    <w:rsid w:val="021024CF"/>
    <w:rsid w:val="023C25D3"/>
    <w:rsid w:val="023E1BBB"/>
    <w:rsid w:val="02580567"/>
    <w:rsid w:val="026622A7"/>
    <w:rsid w:val="02847732"/>
    <w:rsid w:val="02A603C1"/>
    <w:rsid w:val="02EE5CD6"/>
    <w:rsid w:val="030F4492"/>
    <w:rsid w:val="03377BD5"/>
    <w:rsid w:val="03C338F5"/>
    <w:rsid w:val="03C60BD6"/>
    <w:rsid w:val="03FE411B"/>
    <w:rsid w:val="040A64EE"/>
    <w:rsid w:val="04270E99"/>
    <w:rsid w:val="043639B7"/>
    <w:rsid w:val="04392C7B"/>
    <w:rsid w:val="04540AA7"/>
    <w:rsid w:val="046F1BE7"/>
    <w:rsid w:val="047B7B21"/>
    <w:rsid w:val="04A44E95"/>
    <w:rsid w:val="04A90D24"/>
    <w:rsid w:val="04B63D03"/>
    <w:rsid w:val="04E6518A"/>
    <w:rsid w:val="050A34FD"/>
    <w:rsid w:val="05136F57"/>
    <w:rsid w:val="052C2E7F"/>
    <w:rsid w:val="05952F37"/>
    <w:rsid w:val="059960BA"/>
    <w:rsid w:val="05AA3D7A"/>
    <w:rsid w:val="05D0502B"/>
    <w:rsid w:val="05D639A0"/>
    <w:rsid w:val="05D71422"/>
    <w:rsid w:val="05EE6E49"/>
    <w:rsid w:val="05F66454"/>
    <w:rsid w:val="05F973D8"/>
    <w:rsid w:val="06027D92"/>
    <w:rsid w:val="0626761D"/>
    <w:rsid w:val="0639341C"/>
    <w:rsid w:val="064552D9"/>
    <w:rsid w:val="068F0BD1"/>
    <w:rsid w:val="06924B59"/>
    <w:rsid w:val="06E03EEF"/>
    <w:rsid w:val="074A7B2F"/>
    <w:rsid w:val="076649CC"/>
    <w:rsid w:val="07AA7A26"/>
    <w:rsid w:val="07E5154E"/>
    <w:rsid w:val="07F51140"/>
    <w:rsid w:val="08274222"/>
    <w:rsid w:val="082D0888"/>
    <w:rsid w:val="08343B28"/>
    <w:rsid w:val="08493425"/>
    <w:rsid w:val="08521B36"/>
    <w:rsid w:val="086123E0"/>
    <w:rsid w:val="0869175B"/>
    <w:rsid w:val="086D48B5"/>
    <w:rsid w:val="08973453"/>
    <w:rsid w:val="08A45512"/>
    <w:rsid w:val="08B50636"/>
    <w:rsid w:val="08BC3764"/>
    <w:rsid w:val="08C76272"/>
    <w:rsid w:val="08F00370"/>
    <w:rsid w:val="09287EA3"/>
    <w:rsid w:val="09B12C7C"/>
    <w:rsid w:val="09D43C31"/>
    <w:rsid w:val="09D85654"/>
    <w:rsid w:val="09E10FDD"/>
    <w:rsid w:val="09E35745"/>
    <w:rsid w:val="09E72BB9"/>
    <w:rsid w:val="09EC2210"/>
    <w:rsid w:val="09FA536A"/>
    <w:rsid w:val="09FD7023"/>
    <w:rsid w:val="0A171C4C"/>
    <w:rsid w:val="0A2D217F"/>
    <w:rsid w:val="0A5B5F5D"/>
    <w:rsid w:val="0A9B2209"/>
    <w:rsid w:val="0ACD7CFE"/>
    <w:rsid w:val="0AD419FA"/>
    <w:rsid w:val="0AF43B3B"/>
    <w:rsid w:val="0B1B10D3"/>
    <w:rsid w:val="0B2473D6"/>
    <w:rsid w:val="0B386076"/>
    <w:rsid w:val="0B7156CB"/>
    <w:rsid w:val="0B7A1AE1"/>
    <w:rsid w:val="0B8E5780"/>
    <w:rsid w:val="0C2427FC"/>
    <w:rsid w:val="0C302844"/>
    <w:rsid w:val="0C4068A9"/>
    <w:rsid w:val="0C7D1417"/>
    <w:rsid w:val="0C7F3FE6"/>
    <w:rsid w:val="0C806580"/>
    <w:rsid w:val="0C9D11C1"/>
    <w:rsid w:val="0CB10B0C"/>
    <w:rsid w:val="0CCC648D"/>
    <w:rsid w:val="0CD273C1"/>
    <w:rsid w:val="0D025C0B"/>
    <w:rsid w:val="0D111690"/>
    <w:rsid w:val="0D1B6FCA"/>
    <w:rsid w:val="0D1C5DB4"/>
    <w:rsid w:val="0D285521"/>
    <w:rsid w:val="0D2C3F28"/>
    <w:rsid w:val="0D3F7772"/>
    <w:rsid w:val="0D464BF0"/>
    <w:rsid w:val="0D4A33EF"/>
    <w:rsid w:val="0D5612CD"/>
    <w:rsid w:val="0D6C2793"/>
    <w:rsid w:val="0D811225"/>
    <w:rsid w:val="0DBD5C27"/>
    <w:rsid w:val="0DCA50E0"/>
    <w:rsid w:val="0DE17B9E"/>
    <w:rsid w:val="0E1267A4"/>
    <w:rsid w:val="0E6551A9"/>
    <w:rsid w:val="0E79744D"/>
    <w:rsid w:val="0EE3306E"/>
    <w:rsid w:val="0EEC3C72"/>
    <w:rsid w:val="0F2862EC"/>
    <w:rsid w:val="0F89236A"/>
    <w:rsid w:val="0F8B39A7"/>
    <w:rsid w:val="0F9C6D0E"/>
    <w:rsid w:val="0FCF1F7D"/>
    <w:rsid w:val="0FD57B20"/>
    <w:rsid w:val="100D1E94"/>
    <w:rsid w:val="101300A5"/>
    <w:rsid w:val="10347723"/>
    <w:rsid w:val="105A2C44"/>
    <w:rsid w:val="10AA1EC8"/>
    <w:rsid w:val="10D6218A"/>
    <w:rsid w:val="10F84AC3"/>
    <w:rsid w:val="111636DA"/>
    <w:rsid w:val="112B7445"/>
    <w:rsid w:val="11655896"/>
    <w:rsid w:val="11BC168F"/>
    <w:rsid w:val="122E2AA7"/>
    <w:rsid w:val="12436AF1"/>
    <w:rsid w:val="1255789D"/>
    <w:rsid w:val="12A904AC"/>
    <w:rsid w:val="12B50A3F"/>
    <w:rsid w:val="1300693C"/>
    <w:rsid w:val="133E77FA"/>
    <w:rsid w:val="136F7349"/>
    <w:rsid w:val="137607BE"/>
    <w:rsid w:val="138A779A"/>
    <w:rsid w:val="138D323E"/>
    <w:rsid w:val="13EE3A98"/>
    <w:rsid w:val="14322531"/>
    <w:rsid w:val="145F0716"/>
    <w:rsid w:val="14605D28"/>
    <w:rsid w:val="149B087A"/>
    <w:rsid w:val="14E22B82"/>
    <w:rsid w:val="14F259E4"/>
    <w:rsid w:val="150F669C"/>
    <w:rsid w:val="151165AC"/>
    <w:rsid w:val="15487AFB"/>
    <w:rsid w:val="155A5817"/>
    <w:rsid w:val="15624E21"/>
    <w:rsid w:val="15B825AF"/>
    <w:rsid w:val="15D23CCD"/>
    <w:rsid w:val="15EE5609"/>
    <w:rsid w:val="16161084"/>
    <w:rsid w:val="1674087B"/>
    <w:rsid w:val="167417EC"/>
    <w:rsid w:val="169C022D"/>
    <w:rsid w:val="16A04237"/>
    <w:rsid w:val="16B447CE"/>
    <w:rsid w:val="176D09A0"/>
    <w:rsid w:val="17713165"/>
    <w:rsid w:val="17C557F8"/>
    <w:rsid w:val="17D347EA"/>
    <w:rsid w:val="1812470B"/>
    <w:rsid w:val="18303CBB"/>
    <w:rsid w:val="1847105B"/>
    <w:rsid w:val="1847548F"/>
    <w:rsid w:val="18687698"/>
    <w:rsid w:val="187C518C"/>
    <w:rsid w:val="18887BCD"/>
    <w:rsid w:val="18BC5F92"/>
    <w:rsid w:val="192F62D1"/>
    <w:rsid w:val="195B34BE"/>
    <w:rsid w:val="19716DB9"/>
    <w:rsid w:val="19800165"/>
    <w:rsid w:val="19DA41C8"/>
    <w:rsid w:val="19E33778"/>
    <w:rsid w:val="19F85B6E"/>
    <w:rsid w:val="1A0B5B4A"/>
    <w:rsid w:val="1A1254D5"/>
    <w:rsid w:val="1A6D1019"/>
    <w:rsid w:val="1ADF4320"/>
    <w:rsid w:val="1AF347C3"/>
    <w:rsid w:val="1AF84392"/>
    <w:rsid w:val="1B1B1747"/>
    <w:rsid w:val="1B206236"/>
    <w:rsid w:val="1B5D2E7D"/>
    <w:rsid w:val="1B853D32"/>
    <w:rsid w:val="1BAC1CE7"/>
    <w:rsid w:val="1BBE7BE6"/>
    <w:rsid w:val="1C7B0737"/>
    <w:rsid w:val="1C811491"/>
    <w:rsid w:val="1C990F1E"/>
    <w:rsid w:val="1C99254D"/>
    <w:rsid w:val="1C9A333D"/>
    <w:rsid w:val="1CCB49AB"/>
    <w:rsid w:val="1CDF0AEB"/>
    <w:rsid w:val="1D1E1A2C"/>
    <w:rsid w:val="1D2C0BEB"/>
    <w:rsid w:val="1D8C4487"/>
    <w:rsid w:val="1D9848E3"/>
    <w:rsid w:val="1DA614B5"/>
    <w:rsid w:val="1DC43E7C"/>
    <w:rsid w:val="1DC7545D"/>
    <w:rsid w:val="1DDD2F8D"/>
    <w:rsid w:val="1DF7222E"/>
    <w:rsid w:val="1E1665EA"/>
    <w:rsid w:val="1E415E15"/>
    <w:rsid w:val="1E4D0CC2"/>
    <w:rsid w:val="1E795231"/>
    <w:rsid w:val="1E9C7B3A"/>
    <w:rsid w:val="1EEB2007"/>
    <w:rsid w:val="1EF76F5D"/>
    <w:rsid w:val="1F214F52"/>
    <w:rsid w:val="1F3510FF"/>
    <w:rsid w:val="1F440EFB"/>
    <w:rsid w:val="1F457681"/>
    <w:rsid w:val="1F63628C"/>
    <w:rsid w:val="1FA50A15"/>
    <w:rsid w:val="1FC12A90"/>
    <w:rsid w:val="1FC4505B"/>
    <w:rsid w:val="1FD31DC3"/>
    <w:rsid w:val="1FE9112B"/>
    <w:rsid w:val="20407412"/>
    <w:rsid w:val="205C42A5"/>
    <w:rsid w:val="207818A5"/>
    <w:rsid w:val="20960F93"/>
    <w:rsid w:val="20963186"/>
    <w:rsid w:val="20EC2AA9"/>
    <w:rsid w:val="20EE03A4"/>
    <w:rsid w:val="21143A54"/>
    <w:rsid w:val="21527B20"/>
    <w:rsid w:val="21993DCC"/>
    <w:rsid w:val="219E0135"/>
    <w:rsid w:val="21BE01CA"/>
    <w:rsid w:val="22005619"/>
    <w:rsid w:val="2237702E"/>
    <w:rsid w:val="22410D26"/>
    <w:rsid w:val="225B3D6B"/>
    <w:rsid w:val="225E0ACD"/>
    <w:rsid w:val="2286280D"/>
    <w:rsid w:val="22993850"/>
    <w:rsid w:val="229D0C0C"/>
    <w:rsid w:val="22A7560F"/>
    <w:rsid w:val="22A86C7D"/>
    <w:rsid w:val="22B22431"/>
    <w:rsid w:val="22DE4344"/>
    <w:rsid w:val="231946B4"/>
    <w:rsid w:val="23256CB7"/>
    <w:rsid w:val="234D02FA"/>
    <w:rsid w:val="236C1C3C"/>
    <w:rsid w:val="23B37820"/>
    <w:rsid w:val="23CA19C3"/>
    <w:rsid w:val="23DB6EFD"/>
    <w:rsid w:val="24527207"/>
    <w:rsid w:val="24963C79"/>
    <w:rsid w:val="2497294E"/>
    <w:rsid w:val="24A33FFE"/>
    <w:rsid w:val="24B8164C"/>
    <w:rsid w:val="24F920B5"/>
    <w:rsid w:val="25575CD2"/>
    <w:rsid w:val="256F1CEE"/>
    <w:rsid w:val="25882F2A"/>
    <w:rsid w:val="259427F1"/>
    <w:rsid w:val="25A30350"/>
    <w:rsid w:val="25B30F7C"/>
    <w:rsid w:val="25BC5FCD"/>
    <w:rsid w:val="261A5105"/>
    <w:rsid w:val="261C073A"/>
    <w:rsid w:val="26226576"/>
    <w:rsid w:val="26284E0B"/>
    <w:rsid w:val="267E2D49"/>
    <w:rsid w:val="27110760"/>
    <w:rsid w:val="2730317F"/>
    <w:rsid w:val="27987506"/>
    <w:rsid w:val="27B86868"/>
    <w:rsid w:val="286B5D23"/>
    <w:rsid w:val="28837103"/>
    <w:rsid w:val="2888016A"/>
    <w:rsid w:val="2891145E"/>
    <w:rsid w:val="289B60F1"/>
    <w:rsid w:val="28DB7392"/>
    <w:rsid w:val="29283912"/>
    <w:rsid w:val="29D33D0B"/>
    <w:rsid w:val="2A080060"/>
    <w:rsid w:val="2A3B1CD8"/>
    <w:rsid w:val="2A591288"/>
    <w:rsid w:val="2A71692E"/>
    <w:rsid w:val="2A904A29"/>
    <w:rsid w:val="2AB61621"/>
    <w:rsid w:val="2B026F3B"/>
    <w:rsid w:val="2B071E20"/>
    <w:rsid w:val="2B082325"/>
    <w:rsid w:val="2B135D0C"/>
    <w:rsid w:val="2B4F631D"/>
    <w:rsid w:val="2B604C5D"/>
    <w:rsid w:val="2B747456"/>
    <w:rsid w:val="2B962EEE"/>
    <w:rsid w:val="2BB43AC3"/>
    <w:rsid w:val="2BD27208"/>
    <w:rsid w:val="2C0931CD"/>
    <w:rsid w:val="2C0B2FE1"/>
    <w:rsid w:val="2C614EE0"/>
    <w:rsid w:val="2C7A5B80"/>
    <w:rsid w:val="2CCF1C91"/>
    <w:rsid w:val="2D1A0E0E"/>
    <w:rsid w:val="2D24440C"/>
    <w:rsid w:val="2D306A77"/>
    <w:rsid w:val="2D327748"/>
    <w:rsid w:val="2D4B4560"/>
    <w:rsid w:val="2DA9671D"/>
    <w:rsid w:val="2DAE2197"/>
    <w:rsid w:val="2DB03D6C"/>
    <w:rsid w:val="2DD45857"/>
    <w:rsid w:val="2E4176AE"/>
    <w:rsid w:val="2E420688"/>
    <w:rsid w:val="2E430819"/>
    <w:rsid w:val="2E61139F"/>
    <w:rsid w:val="2E6650CB"/>
    <w:rsid w:val="2E7D4A33"/>
    <w:rsid w:val="2E86304A"/>
    <w:rsid w:val="2E985C3E"/>
    <w:rsid w:val="2EA62316"/>
    <w:rsid w:val="2EBC4261"/>
    <w:rsid w:val="2F522664"/>
    <w:rsid w:val="2F575E37"/>
    <w:rsid w:val="2F750C6B"/>
    <w:rsid w:val="2F996040"/>
    <w:rsid w:val="2FBE4144"/>
    <w:rsid w:val="2FDD3B12"/>
    <w:rsid w:val="2FF77F1D"/>
    <w:rsid w:val="30035D8B"/>
    <w:rsid w:val="300C5A26"/>
    <w:rsid w:val="3016371E"/>
    <w:rsid w:val="3030139E"/>
    <w:rsid w:val="30A60FDC"/>
    <w:rsid w:val="30CD31C1"/>
    <w:rsid w:val="30DB19AC"/>
    <w:rsid w:val="31112E8F"/>
    <w:rsid w:val="313553C8"/>
    <w:rsid w:val="317B42DB"/>
    <w:rsid w:val="317E6EEB"/>
    <w:rsid w:val="31967FD7"/>
    <w:rsid w:val="319757BE"/>
    <w:rsid w:val="31982EEE"/>
    <w:rsid w:val="319D7F4B"/>
    <w:rsid w:val="31A20BD3"/>
    <w:rsid w:val="31BA5C46"/>
    <w:rsid w:val="31CC0DBF"/>
    <w:rsid w:val="31F06609"/>
    <w:rsid w:val="32241FB2"/>
    <w:rsid w:val="323F10FE"/>
    <w:rsid w:val="32422082"/>
    <w:rsid w:val="324F3F3A"/>
    <w:rsid w:val="325054D5"/>
    <w:rsid w:val="327E38FF"/>
    <w:rsid w:val="32D74E08"/>
    <w:rsid w:val="32DF35DD"/>
    <w:rsid w:val="32EB029B"/>
    <w:rsid w:val="32EE2005"/>
    <w:rsid w:val="338C39A2"/>
    <w:rsid w:val="33A07A40"/>
    <w:rsid w:val="33A94E88"/>
    <w:rsid w:val="33AC5C3D"/>
    <w:rsid w:val="33C27D83"/>
    <w:rsid w:val="33D9150F"/>
    <w:rsid w:val="33FE342B"/>
    <w:rsid w:val="34165481"/>
    <w:rsid w:val="341E030F"/>
    <w:rsid w:val="3439166F"/>
    <w:rsid w:val="3448275F"/>
    <w:rsid w:val="34567DF2"/>
    <w:rsid w:val="347A5C76"/>
    <w:rsid w:val="34B36604"/>
    <w:rsid w:val="352D301B"/>
    <w:rsid w:val="354635F4"/>
    <w:rsid w:val="354B63CD"/>
    <w:rsid w:val="359D2DF5"/>
    <w:rsid w:val="359F1121"/>
    <w:rsid w:val="35AD1716"/>
    <w:rsid w:val="3629746A"/>
    <w:rsid w:val="36381C83"/>
    <w:rsid w:val="36470152"/>
    <w:rsid w:val="3650732A"/>
    <w:rsid w:val="366B5BC1"/>
    <w:rsid w:val="366E6ADF"/>
    <w:rsid w:val="36817AF9"/>
    <w:rsid w:val="368A771B"/>
    <w:rsid w:val="368C170D"/>
    <w:rsid w:val="36AF46FD"/>
    <w:rsid w:val="36DD195C"/>
    <w:rsid w:val="36E1106C"/>
    <w:rsid w:val="36E878A1"/>
    <w:rsid w:val="36F0215F"/>
    <w:rsid w:val="37371BA6"/>
    <w:rsid w:val="375E056A"/>
    <w:rsid w:val="37CD7C0F"/>
    <w:rsid w:val="37F21D11"/>
    <w:rsid w:val="37F86058"/>
    <w:rsid w:val="382677A7"/>
    <w:rsid w:val="3876153E"/>
    <w:rsid w:val="387979E8"/>
    <w:rsid w:val="38864D4B"/>
    <w:rsid w:val="389E6C52"/>
    <w:rsid w:val="38BF1E37"/>
    <w:rsid w:val="38CB3B52"/>
    <w:rsid w:val="38E472E3"/>
    <w:rsid w:val="390D04A7"/>
    <w:rsid w:val="394F3AB7"/>
    <w:rsid w:val="39570EF8"/>
    <w:rsid w:val="39661E3A"/>
    <w:rsid w:val="39741150"/>
    <w:rsid w:val="39AB12AA"/>
    <w:rsid w:val="39B23B23"/>
    <w:rsid w:val="39B85AED"/>
    <w:rsid w:val="39FB0130"/>
    <w:rsid w:val="39FF032C"/>
    <w:rsid w:val="3A0F01B5"/>
    <w:rsid w:val="3A5C4346"/>
    <w:rsid w:val="3A5D2C2A"/>
    <w:rsid w:val="3AA15E8F"/>
    <w:rsid w:val="3AAD2152"/>
    <w:rsid w:val="3AC249DF"/>
    <w:rsid w:val="3AE25532"/>
    <w:rsid w:val="3AE7487F"/>
    <w:rsid w:val="3AE7557D"/>
    <w:rsid w:val="3B1C5C89"/>
    <w:rsid w:val="3BD479B6"/>
    <w:rsid w:val="3C0427B1"/>
    <w:rsid w:val="3C10546A"/>
    <w:rsid w:val="3C6D68AF"/>
    <w:rsid w:val="3CBA05B2"/>
    <w:rsid w:val="3CEB4444"/>
    <w:rsid w:val="3D243E5F"/>
    <w:rsid w:val="3D520141"/>
    <w:rsid w:val="3D597E11"/>
    <w:rsid w:val="3D965098"/>
    <w:rsid w:val="3DE40C1B"/>
    <w:rsid w:val="3E2A13E6"/>
    <w:rsid w:val="3E38449B"/>
    <w:rsid w:val="3E4A71D6"/>
    <w:rsid w:val="3E4F7FFF"/>
    <w:rsid w:val="3E6973C6"/>
    <w:rsid w:val="3EB62F71"/>
    <w:rsid w:val="3EC26D84"/>
    <w:rsid w:val="3EE872B8"/>
    <w:rsid w:val="3F0C27FB"/>
    <w:rsid w:val="3F347A43"/>
    <w:rsid w:val="3F7263A1"/>
    <w:rsid w:val="3F8B2050"/>
    <w:rsid w:val="3FF23382"/>
    <w:rsid w:val="404C715C"/>
    <w:rsid w:val="409F7ED5"/>
    <w:rsid w:val="40E32281"/>
    <w:rsid w:val="40EA548F"/>
    <w:rsid w:val="41477DA7"/>
    <w:rsid w:val="416769A1"/>
    <w:rsid w:val="41876612"/>
    <w:rsid w:val="41990F0C"/>
    <w:rsid w:val="419A7831"/>
    <w:rsid w:val="41B75EDF"/>
    <w:rsid w:val="41C15696"/>
    <w:rsid w:val="41C31810"/>
    <w:rsid w:val="41C75889"/>
    <w:rsid w:val="41CA0AE0"/>
    <w:rsid w:val="41D7394A"/>
    <w:rsid w:val="41E55E6F"/>
    <w:rsid w:val="41FA52CC"/>
    <w:rsid w:val="42451C25"/>
    <w:rsid w:val="424A7759"/>
    <w:rsid w:val="42906002"/>
    <w:rsid w:val="42B152CB"/>
    <w:rsid w:val="42CA4E5E"/>
    <w:rsid w:val="42CE0B28"/>
    <w:rsid w:val="42E03096"/>
    <w:rsid w:val="43064B62"/>
    <w:rsid w:val="43447F70"/>
    <w:rsid w:val="439814AE"/>
    <w:rsid w:val="439E1C85"/>
    <w:rsid w:val="43A35238"/>
    <w:rsid w:val="43A36FF6"/>
    <w:rsid w:val="43E560F1"/>
    <w:rsid w:val="43F14B51"/>
    <w:rsid w:val="440913B4"/>
    <w:rsid w:val="44F84CB5"/>
    <w:rsid w:val="450E6E58"/>
    <w:rsid w:val="451E6B21"/>
    <w:rsid w:val="45424C62"/>
    <w:rsid w:val="457A7EBB"/>
    <w:rsid w:val="46494B0D"/>
    <w:rsid w:val="46541946"/>
    <w:rsid w:val="46987F5C"/>
    <w:rsid w:val="46AE7906"/>
    <w:rsid w:val="46CD5B35"/>
    <w:rsid w:val="46D44808"/>
    <w:rsid w:val="46E25ADA"/>
    <w:rsid w:val="46E61A49"/>
    <w:rsid w:val="46F431BC"/>
    <w:rsid w:val="47006EA7"/>
    <w:rsid w:val="471901B2"/>
    <w:rsid w:val="471C4C5D"/>
    <w:rsid w:val="47863686"/>
    <w:rsid w:val="47E26E94"/>
    <w:rsid w:val="47EE19D0"/>
    <w:rsid w:val="480D472B"/>
    <w:rsid w:val="482A12F4"/>
    <w:rsid w:val="482F1EF9"/>
    <w:rsid w:val="48403498"/>
    <w:rsid w:val="484A2505"/>
    <w:rsid w:val="48981FDB"/>
    <w:rsid w:val="48AA4F98"/>
    <w:rsid w:val="48B05D87"/>
    <w:rsid w:val="48B607AB"/>
    <w:rsid w:val="48E543C2"/>
    <w:rsid w:val="492C439A"/>
    <w:rsid w:val="49417CB0"/>
    <w:rsid w:val="496A0929"/>
    <w:rsid w:val="497D0CA1"/>
    <w:rsid w:val="498E3CD2"/>
    <w:rsid w:val="49AF73B8"/>
    <w:rsid w:val="49C51095"/>
    <w:rsid w:val="4A0B5F87"/>
    <w:rsid w:val="4A3316C9"/>
    <w:rsid w:val="4A706FB0"/>
    <w:rsid w:val="4A757BB4"/>
    <w:rsid w:val="4A780783"/>
    <w:rsid w:val="4A7965BA"/>
    <w:rsid w:val="4A9D0D79"/>
    <w:rsid w:val="4ACC3E2B"/>
    <w:rsid w:val="4AFA7E0D"/>
    <w:rsid w:val="4B1F63D1"/>
    <w:rsid w:val="4BF25C98"/>
    <w:rsid w:val="4BFD7A3B"/>
    <w:rsid w:val="4C064857"/>
    <w:rsid w:val="4C2A5B6F"/>
    <w:rsid w:val="4C30395B"/>
    <w:rsid w:val="4C3677AE"/>
    <w:rsid w:val="4C4D2A82"/>
    <w:rsid w:val="4C5F09D9"/>
    <w:rsid w:val="4C6D7CEF"/>
    <w:rsid w:val="4CB074DF"/>
    <w:rsid w:val="4D827837"/>
    <w:rsid w:val="4D9537B4"/>
    <w:rsid w:val="4D9F3AB3"/>
    <w:rsid w:val="4DA2659D"/>
    <w:rsid w:val="4DA841F4"/>
    <w:rsid w:val="4DAE21F5"/>
    <w:rsid w:val="4DB87928"/>
    <w:rsid w:val="4DC8252A"/>
    <w:rsid w:val="4DD74D43"/>
    <w:rsid w:val="4DDD65AE"/>
    <w:rsid w:val="4E1103A0"/>
    <w:rsid w:val="4E113FA9"/>
    <w:rsid w:val="4E275DC7"/>
    <w:rsid w:val="4E5505B6"/>
    <w:rsid w:val="4E670DAE"/>
    <w:rsid w:val="4E751832"/>
    <w:rsid w:val="4E8B5AEB"/>
    <w:rsid w:val="4EB62D4D"/>
    <w:rsid w:val="4EC6244D"/>
    <w:rsid w:val="4ECF12F3"/>
    <w:rsid w:val="4F23119A"/>
    <w:rsid w:val="4F26376B"/>
    <w:rsid w:val="4F293E81"/>
    <w:rsid w:val="4F691C56"/>
    <w:rsid w:val="4FA04A91"/>
    <w:rsid w:val="4FA2553E"/>
    <w:rsid w:val="4FAF93E6"/>
    <w:rsid w:val="4FEC0BC3"/>
    <w:rsid w:val="507963E7"/>
    <w:rsid w:val="50966E45"/>
    <w:rsid w:val="50AE3C80"/>
    <w:rsid w:val="50C92B17"/>
    <w:rsid w:val="50E91B38"/>
    <w:rsid w:val="50EE4AFC"/>
    <w:rsid w:val="51751B8E"/>
    <w:rsid w:val="519024E9"/>
    <w:rsid w:val="51D2462F"/>
    <w:rsid w:val="51D34F44"/>
    <w:rsid w:val="51F27B53"/>
    <w:rsid w:val="52360AEF"/>
    <w:rsid w:val="525177A5"/>
    <w:rsid w:val="525A3245"/>
    <w:rsid w:val="526E1B7B"/>
    <w:rsid w:val="52C73FF6"/>
    <w:rsid w:val="52DC1841"/>
    <w:rsid w:val="52E02D46"/>
    <w:rsid w:val="53115B0F"/>
    <w:rsid w:val="5376185F"/>
    <w:rsid w:val="540A5E66"/>
    <w:rsid w:val="544A5A5C"/>
    <w:rsid w:val="5469558C"/>
    <w:rsid w:val="54810975"/>
    <w:rsid w:val="54A50091"/>
    <w:rsid w:val="54AA5D1D"/>
    <w:rsid w:val="54F9421E"/>
    <w:rsid w:val="551534A6"/>
    <w:rsid w:val="55195A2F"/>
    <w:rsid w:val="554140BE"/>
    <w:rsid w:val="55547800"/>
    <w:rsid w:val="556804C7"/>
    <w:rsid w:val="55704ABA"/>
    <w:rsid w:val="558D3B57"/>
    <w:rsid w:val="559049A1"/>
    <w:rsid w:val="559A7384"/>
    <w:rsid w:val="55D873DD"/>
    <w:rsid w:val="56265247"/>
    <w:rsid w:val="562F4970"/>
    <w:rsid w:val="56417390"/>
    <w:rsid w:val="56847679"/>
    <w:rsid w:val="56AD20E1"/>
    <w:rsid w:val="56B2462F"/>
    <w:rsid w:val="56B95D55"/>
    <w:rsid w:val="56DA1979"/>
    <w:rsid w:val="56FA3102"/>
    <w:rsid w:val="570F709A"/>
    <w:rsid w:val="5733704C"/>
    <w:rsid w:val="574127B6"/>
    <w:rsid w:val="574163F9"/>
    <w:rsid w:val="577E6084"/>
    <w:rsid w:val="57890C46"/>
    <w:rsid w:val="57E976FD"/>
    <w:rsid w:val="58162CB9"/>
    <w:rsid w:val="58207565"/>
    <w:rsid w:val="584410E0"/>
    <w:rsid w:val="58545203"/>
    <w:rsid w:val="58D84188"/>
    <w:rsid w:val="58E207EA"/>
    <w:rsid w:val="58F63263"/>
    <w:rsid w:val="5937223D"/>
    <w:rsid w:val="595F3E32"/>
    <w:rsid w:val="596E0789"/>
    <w:rsid w:val="59BA435D"/>
    <w:rsid w:val="59C31ED9"/>
    <w:rsid w:val="59D836F4"/>
    <w:rsid w:val="5A0E5D14"/>
    <w:rsid w:val="5A621D05"/>
    <w:rsid w:val="5AA65046"/>
    <w:rsid w:val="5AAE2453"/>
    <w:rsid w:val="5B1F3A0B"/>
    <w:rsid w:val="5B41790B"/>
    <w:rsid w:val="5B486DCE"/>
    <w:rsid w:val="5B572D99"/>
    <w:rsid w:val="5B876ADC"/>
    <w:rsid w:val="5B9D7ACA"/>
    <w:rsid w:val="5B9E1D5B"/>
    <w:rsid w:val="5BB30D9C"/>
    <w:rsid w:val="5C440727"/>
    <w:rsid w:val="5C9625A8"/>
    <w:rsid w:val="5CB107A1"/>
    <w:rsid w:val="5CCD61CB"/>
    <w:rsid w:val="5CF15024"/>
    <w:rsid w:val="5D3864DF"/>
    <w:rsid w:val="5D3A77A6"/>
    <w:rsid w:val="5D3F4D0A"/>
    <w:rsid w:val="5D946993"/>
    <w:rsid w:val="5D96269B"/>
    <w:rsid w:val="5D9B7A75"/>
    <w:rsid w:val="5DB37D2C"/>
    <w:rsid w:val="5DC02280"/>
    <w:rsid w:val="5E19466D"/>
    <w:rsid w:val="5E1B289C"/>
    <w:rsid w:val="5E2D04CD"/>
    <w:rsid w:val="5E5A453B"/>
    <w:rsid w:val="5E765BD7"/>
    <w:rsid w:val="5E791DDE"/>
    <w:rsid w:val="5E7A5C21"/>
    <w:rsid w:val="5E800D5D"/>
    <w:rsid w:val="5E82661B"/>
    <w:rsid w:val="5E87736A"/>
    <w:rsid w:val="5EB55B71"/>
    <w:rsid w:val="5EE66340"/>
    <w:rsid w:val="5EE71EFF"/>
    <w:rsid w:val="5F0963AD"/>
    <w:rsid w:val="5F164E4A"/>
    <w:rsid w:val="5F323F74"/>
    <w:rsid w:val="5F4B368E"/>
    <w:rsid w:val="5F521080"/>
    <w:rsid w:val="5F903F66"/>
    <w:rsid w:val="5FB00CD9"/>
    <w:rsid w:val="5FDA7ED2"/>
    <w:rsid w:val="5FFE75F6"/>
    <w:rsid w:val="60006A8C"/>
    <w:rsid w:val="60017D91"/>
    <w:rsid w:val="603902DF"/>
    <w:rsid w:val="604A517F"/>
    <w:rsid w:val="609F3489"/>
    <w:rsid w:val="60B52CF3"/>
    <w:rsid w:val="60BF4AD9"/>
    <w:rsid w:val="60F15327"/>
    <w:rsid w:val="60F30682"/>
    <w:rsid w:val="60F52D71"/>
    <w:rsid w:val="610944D4"/>
    <w:rsid w:val="610B3AC7"/>
    <w:rsid w:val="61416FC5"/>
    <w:rsid w:val="61441117"/>
    <w:rsid w:val="615E224C"/>
    <w:rsid w:val="618C1999"/>
    <w:rsid w:val="618C471E"/>
    <w:rsid w:val="618D247F"/>
    <w:rsid w:val="61A50442"/>
    <w:rsid w:val="61A96C17"/>
    <w:rsid w:val="61B37D52"/>
    <w:rsid w:val="61B57FDA"/>
    <w:rsid w:val="61E40392"/>
    <w:rsid w:val="620A666B"/>
    <w:rsid w:val="62195032"/>
    <w:rsid w:val="622336C1"/>
    <w:rsid w:val="62444AC8"/>
    <w:rsid w:val="624B1C6F"/>
    <w:rsid w:val="624D40D3"/>
    <w:rsid w:val="62A019CE"/>
    <w:rsid w:val="62B06376"/>
    <w:rsid w:val="62B81204"/>
    <w:rsid w:val="62E56E7D"/>
    <w:rsid w:val="63075B0B"/>
    <w:rsid w:val="63440380"/>
    <w:rsid w:val="637A56E3"/>
    <w:rsid w:val="63EC5E22"/>
    <w:rsid w:val="64116758"/>
    <w:rsid w:val="64154EC7"/>
    <w:rsid w:val="6416050B"/>
    <w:rsid w:val="64357CB9"/>
    <w:rsid w:val="643805F2"/>
    <w:rsid w:val="64B62688"/>
    <w:rsid w:val="64B8674B"/>
    <w:rsid w:val="64C722F3"/>
    <w:rsid w:val="651E730F"/>
    <w:rsid w:val="65363B5B"/>
    <w:rsid w:val="653F244F"/>
    <w:rsid w:val="65421564"/>
    <w:rsid w:val="654B0547"/>
    <w:rsid w:val="65954E34"/>
    <w:rsid w:val="659D39AB"/>
    <w:rsid w:val="65A75EDC"/>
    <w:rsid w:val="65AE37F5"/>
    <w:rsid w:val="65B627DF"/>
    <w:rsid w:val="65CC2D90"/>
    <w:rsid w:val="660336CB"/>
    <w:rsid w:val="661601B3"/>
    <w:rsid w:val="664E4752"/>
    <w:rsid w:val="664E58E8"/>
    <w:rsid w:val="667F3538"/>
    <w:rsid w:val="66A31275"/>
    <w:rsid w:val="66AC7E7F"/>
    <w:rsid w:val="66B145D8"/>
    <w:rsid w:val="66C52871"/>
    <w:rsid w:val="66D22B91"/>
    <w:rsid w:val="671C4264"/>
    <w:rsid w:val="672B4917"/>
    <w:rsid w:val="67483581"/>
    <w:rsid w:val="675009B3"/>
    <w:rsid w:val="676336CA"/>
    <w:rsid w:val="677CE975"/>
    <w:rsid w:val="67AB5E6A"/>
    <w:rsid w:val="67B870B8"/>
    <w:rsid w:val="67BF400C"/>
    <w:rsid w:val="67DE35C5"/>
    <w:rsid w:val="67EF08F3"/>
    <w:rsid w:val="681741E7"/>
    <w:rsid w:val="68465D0E"/>
    <w:rsid w:val="685134DB"/>
    <w:rsid w:val="688177FF"/>
    <w:rsid w:val="68E33322"/>
    <w:rsid w:val="690412D8"/>
    <w:rsid w:val="69590392"/>
    <w:rsid w:val="695A2F82"/>
    <w:rsid w:val="6963099A"/>
    <w:rsid w:val="6967648E"/>
    <w:rsid w:val="69AA6BD2"/>
    <w:rsid w:val="69CD0D21"/>
    <w:rsid w:val="69E51AE4"/>
    <w:rsid w:val="69ED00DF"/>
    <w:rsid w:val="6A0851EB"/>
    <w:rsid w:val="6A187BFF"/>
    <w:rsid w:val="6A285BB8"/>
    <w:rsid w:val="6A3A4A33"/>
    <w:rsid w:val="6A576E16"/>
    <w:rsid w:val="6A5D4D8D"/>
    <w:rsid w:val="6A7A213F"/>
    <w:rsid w:val="6AB00B36"/>
    <w:rsid w:val="6ADB2523"/>
    <w:rsid w:val="6B1D00CC"/>
    <w:rsid w:val="6B221A83"/>
    <w:rsid w:val="6B277CD9"/>
    <w:rsid w:val="6B3063EA"/>
    <w:rsid w:val="6B7B5EE8"/>
    <w:rsid w:val="6B8303F3"/>
    <w:rsid w:val="6B895556"/>
    <w:rsid w:val="6BEA5819"/>
    <w:rsid w:val="6BF42734"/>
    <w:rsid w:val="6C346766"/>
    <w:rsid w:val="6C3D350D"/>
    <w:rsid w:val="6C9C440C"/>
    <w:rsid w:val="6CB378F9"/>
    <w:rsid w:val="6CC85207"/>
    <w:rsid w:val="6CF87FF6"/>
    <w:rsid w:val="6D162119"/>
    <w:rsid w:val="6D2B0B9A"/>
    <w:rsid w:val="6D2C3705"/>
    <w:rsid w:val="6D32448C"/>
    <w:rsid w:val="6D485F0B"/>
    <w:rsid w:val="6D55050F"/>
    <w:rsid w:val="6D820B7E"/>
    <w:rsid w:val="6D873010"/>
    <w:rsid w:val="6DA61BFB"/>
    <w:rsid w:val="6DA63570"/>
    <w:rsid w:val="6DDC046F"/>
    <w:rsid w:val="6DEF7BE9"/>
    <w:rsid w:val="6E2267D8"/>
    <w:rsid w:val="6E3269D7"/>
    <w:rsid w:val="6E41410C"/>
    <w:rsid w:val="6E4A0EB0"/>
    <w:rsid w:val="6EAA4474"/>
    <w:rsid w:val="6ECD507F"/>
    <w:rsid w:val="6EFF0DB0"/>
    <w:rsid w:val="6F1624C1"/>
    <w:rsid w:val="6F27365A"/>
    <w:rsid w:val="6F2A435C"/>
    <w:rsid w:val="6F3574FF"/>
    <w:rsid w:val="6F9261A7"/>
    <w:rsid w:val="6F947C29"/>
    <w:rsid w:val="6FA8783E"/>
    <w:rsid w:val="6FCC525C"/>
    <w:rsid w:val="6FE85FAC"/>
    <w:rsid w:val="6FF879A7"/>
    <w:rsid w:val="700A7C70"/>
    <w:rsid w:val="700C1760"/>
    <w:rsid w:val="704B0DE5"/>
    <w:rsid w:val="704E3B0A"/>
    <w:rsid w:val="707B3636"/>
    <w:rsid w:val="707E2436"/>
    <w:rsid w:val="70E31094"/>
    <w:rsid w:val="70E62748"/>
    <w:rsid w:val="710D7AB3"/>
    <w:rsid w:val="7131029F"/>
    <w:rsid w:val="717539A9"/>
    <w:rsid w:val="71903EAB"/>
    <w:rsid w:val="71A66336"/>
    <w:rsid w:val="71EA0CF1"/>
    <w:rsid w:val="7202352B"/>
    <w:rsid w:val="7242590F"/>
    <w:rsid w:val="72581FD1"/>
    <w:rsid w:val="72845A81"/>
    <w:rsid w:val="7293781E"/>
    <w:rsid w:val="72AE7C2E"/>
    <w:rsid w:val="72DB18FF"/>
    <w:rsid w:val="72E925E9"/>
    <w:rsid w:val="730A1149"/>
    <w:rsid w:val="733C3537"/>
    <w:rsid w:val="734844B1"/>
    <w:rsid w:val="738C5420"/>
    <w:rsid w:val="738D2681"/>
    <w:rsid w:val="73B409E6"/>
    <w:rsid w:val="73FF4C06"/>
    <w:rsid w:val="743D3CAA"/>
    <w:rsid w:val="744650DB"/>
    <w:rsid w:val="747E7852"/>
    <w:rsid w:val="74AB1F57"/>
    <w:rsid w:val="74C404A4"/>
    <w:rsid w:val="74C413D4"/>
    <w:rsid w:val="74DC48C7"/>
    <w:rsid w:val="74FC737A"/>
    <w:rsid w:val="751246D7"/>
    <w:rsid w:val="751854D1"/>
    <w:rsid w:val="75210EA2"/>
    <w:rsid w:val="75666069"/>
    <w:rsid w:val="75867211"/>
    <w:rsid w:val="758A32E3"/>
    <w:rsid w:val="75922EB0"/>
    <w:rsid w:val="75BE7912"/>
    <w:rsid w:val="75CA4550"/>
    <w:rsid w:val="75D0169E"/>
    <w:rsid w:val="75DB6764"/>
    <w:rsid w:val="75F3408F"/>
    <w:rsid w:val="76010AE4"/>
    <w:rsid w:val="7621715D"/>
    <w:rsid w:val="7634617E"/>
    <w:rsid w:val="76376B7F"/>
    <w:rsid w:val="763C3F4F"/>
    <w:rsid w:val="76401F90"/>
    <w:rsid w:val="76BD7AD7"/>
    <w:rsid w:val="76D76F66"/>
    <w:rsid w:val="770C53FF"/>
    <w:rsid w:val="771E1FB8"/>
    <w:rsid w:val="77932EE6"/>
    <w:rsid w:val="7794370B"/>
    <w:rsid w:val="77A22AD1"/>
    <w:rsid w:val="77C73C0A"/>
    <w:rsid w:val="77EE673C"/>
    <w:rsid w:val="78003630"/>
    <w:rsid w:val="782245A4"/>
    <w:rsid w:val="78376848"/>
    <w:rsid w:val="787423F3"/>
    <w:rsid w:val="78AD4288"/>
    <w:rsid w:val="78B50CC4"/>
    <w:rsid w:val="78D67AA0"/>
    <w:rsid w:val="79181E66"/>
    <w:rsid w:val="79206F6D"/>
    <w:rsid w:val="79415749"/>
    <w:rsid w:val="795B0471"/>
    <w:rsid w:val="79811B4C"/>
    <w:rsid w:val="79824691"/>
    <w:rsid w:val="79B220BA"/>
    <w:rsid w:val="79E02D82"/>
    <w:rsid w:val="79FC1981"/>
    <w:rsid w:val="7A114D24"/>
    <w:rsid w:val="7A1962BE"/>
    <w:rsid w:val="7A2902FC"/>
    <w:rsid w:val="7A5A3BF2"/>
    <w:rsid w:val="7A8B129B"/>
    <w:rsid w:val="7AC548F7"/>
    <w:rsid w:val="7AD177C7"/>
    <w:rsid w:val="7AD33C0D"/>
    <w:rsid w:val="7ADE70DC"/>
    <w:rsid w:val="7B15597B"/>
    <w:rsid w:val="7B2B4D24"/>
    <w:rsid w:val="7B4C38D7"/>
    <w:rsid w:val="7B517D5F"/>
    <w:rsid w:val="7B7D1246"/>
    <w:rsid w:val="7B7E1B28"/>
    <w:rsid w:val="7BA829B9"/>
    <w:rsid w:val="7BA82CDA"/>
    <w:rsid w:val="7BB95875"/>
    <w:rsid w:val="7BD01932"/>
    <w:rsid w:val="7C023D5C"/>
    <w:rsid w:val="7C0D0571"/>
    <w:rsid w:val="7C207132"/>
    <w:rsid w:val="7C2B54C3"/>
    <w:rsid w:val="7CA2387C"/>
    <w:rsid w:val="7CB91896"/>
    <w:rsid w:val="7CD6149E"/>
    <w:rsid w:val="7D1A2F7D"/>
    <w:rsid w:val="7D8F1157"/>
    <w:rsid w:val="7DA02AA7"/>
    <w:rsid w:val="7DA36ABE"/>
    <w:rsid w:val="7DD70F7E"/>
    <w:rsid w:val="7DE900BA"/>
    <w:rsid w:val="7E1D36F5"/>
    <w:rsid w:val="7E381D20"/>
    <w:rsid w:val="7E8B75AC"/>
    <w:rsid w:val="7FBD786E"/>
    <w:rsid w:val="7FE36660"/>
    <w:rsid w:val="7FE50BE8"/>
    <w:rsid w:val="7FE84A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envelope return" w:uiPriority="99"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35D62"/>
    <w:pPr>
      <w:widowControl w:val="0"/>
      <w:jc w:val="both"/>
    </w:pPr>
    <w:rPr>
      <w:kern w:val="2"/>
      <w:sz w:val="21"/>
      <w:szCs w:val="24"/>
    </w:rPr>
  </w:style>
  <w:style w:type="paragraph" w:styleId="1">
    <w:name w:val="heading 1"/>
    <w:basedOn w:val="a"/>
    <w:next w:val="a"/>
    <w:qFormat/>
    <w:rsid w:val="00F35D62"/>
    <w:pPr>
      <w:keepNext/>
      <w:keepLines/>
      <w:spacing w:line="576" w:lineRule="auto"/>
      <w:outlineLvl w:val="0"/>
    </w:pPr>
    <w:rPr>
      <w:b/>
      <w:bCs/>
      <w:kern w:val="44"/>
      <w:sz w:val="44"/>
      <w:szCs w:val="44"/>
    </w:rPr>
  </w:style>
  <w:style w:type="paragraph" w:styleId="2">
    <w:name w:val="heading 2"/>
    <w:basedOn w:val="a"/>
    <w:next w:val="a"/>
    <w:semiHidden/>
    <w:unhideWhenUsed/>
    <w:qFormat/>
    <w:rsid w:val="00F35D62"/>
    <w:pPr>
      <w:keepNext/>
      <w:keepLines/>
      <w:spacing w:before="260" w:after="260" w:line="416" w:lineRule="auto"/>
      <w:outlineLvl w:val="1"/>
    </w:pPr>
    <w:rPr>
      <w:rFonts w:ascii="Cambria" w:hAnsi="Cambria"/>
      <w:b/>
      <w:bCs/>
    </w:rPr>
  </w:style>
  <w:style w:type="paragraph" w:styleId="3">
    <w:name w:val="heading 3"/>
    <w:basedOn w:val="a"/>
    <w:next w:val="a"/>
    <w:semiHidden/>
    <w:unhideWhenUsed/>
    <w:qFormat/>
    <w:rsid w:val="00F35D62"/>
    <w:pPr>
      <w:keepNext/>
      <w:keepLines/>
      <w:spacing w:before="260" w:after="260" w:line="416" w:lineRule="atLeast"/>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F35D62"/>
    <w:pPr>
      <w:spacing w:after="120"/>
    </w:pPr>
  </w:style>
  <w:style w:type="paragraph" w:styleId="a4">
    <w:name w:val="annotation text"/>
    <w:basedOn w:val="a"/>
    <w:link w:val="Char"/>
    <w:qFormat/>
    <w:rsid w:val="00F35D62"/>
    <w:pPr>
      <w:jc w:val="left"/>
    </w:pPr>
  </w:style>
  <w:style w:type="paragraph" w:styleId="a5">
    <w:name w:val="Body Text Indent"/>
    <w:basedOn w:val="a"/>
    <w:next w:val="a6"/>
    <w:qFormat/>
    <w:rsid w:val="00F35D62"/>
    <w:pPr>
      <w:ind w:leftChars="200" w:left="420"/>
    </w:pPr>
  </w:style>
  <w:style w:type="paragraph" w:styleId="a6">
    <w:name w:val="envelope return"/>
    <w:basedOn w:val="a"/>
    <w:uiPriority w:val="99"/>
    <w:unhideWhenUsed/>
    <w:qFormat/>
    <w:rsid w:val="00F35D62"/>
    <w:pPr>
      <w:snapToGrid w:val="0"/>
    </w:pPr>
    <w:rPr>
      <w:rFonts w:ascii="Arial" w:hAnsi="Arial"/>
    </w:rPr>
  </w:style>
  <w:style w:type="paragraph" w:styleId="a7">
    <w:name w:val="footer"/>
    <w:basedOn w:val="a"/>
    <w:link w:val="Char0"/>
    <w:qFormat/>
    <w:rsid w:val="00F35D62"/>
    <w:pPr>
      <w:tabs>
        <w:tab w:val="center" w:pos="4153"/>
        <w:tab w:val="right" w:pos="8306"/>
      </w:tabs>
      <w:snapToGrid w:val="0"/>
      <w:jc w:val="left"/>
    </w:pPr>
    <w:rPr>
      <w:sz w:val="18"/>
      <w:szCs w:val="18"/>
    </w:rPr>
  </w:style>
  <w:style w:type="paragraph" w:styleId="a8">
    <w:name w:val="header"/>
    <w:basedOn w:val="a"/>
    <w:link w:val="Char1"/>
    <w:qFormat/>
    <w:rsid w:val="00F35D62"/>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F35D62"/>
  </w:style>
  <w:style w:type="paragraph" w:styleId="HTML">
    <w:name w:val="HTML Preformatted"/>
    <w:basedOn w:val="a"/>
    <w:qFormat/>
    <w:rsid w:val="00F3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Title"/>
    <w:basedOn w:val="2"/>
    <w:next w:val="a"/>
    <w:qFormat/>
    <w:rsid w:val="00F35D62"/>
    <w:pPr>
      <w:spacing w:beforeLines="50" w:afterLines="50" w:line="240" w:lineRule="auto"/>
    </w:pPr>
    <w:rPr>
      <w:rFonts w:ascii="楷体" w:eastAsia="楷体" w:hAnsi="楷体"/>
      <w:sz w:val="28"/>
      <w:szCs w:val="28"/>
    </w:rPr>
  </w:style>
  <w:style w:type="paragraph" w:styleId="aa">
    <w:name w:val="annotation subject"/>
    <w:basedOn w:val="a4"/>
    <w:next w:val="a4"/>
    <w:link w:val="Char2"/>
    <w:qFormat/>
    <w:rsid w:val="00F35D62"/>
    <w:rPr>
      <w:b/>
      <w:bCs/>
    </w:rPr>
  </w:style>
  <w:style w:type="paragraph" w:styleId="ab">
    <w:name w:val="Body Text First Indent"/>
    <w:basedOn w:val="a0"/>
    <w:qFormat/>
    <w:rsid w:val="00F35D62"/>
    <w:pPr>
      <w:ind w:firstLineChars="100" w:firstLine="420"/>
    </w:pPr>
  </w:style>
  <w:style w:type="paragraph" w:styleId="20">
    <w:name w:val="Body Text First Indent 2"/>
    <w:basedOn w:val="a5"/>
    <w:next w:val="ab"/>
    <w:uiPriority w:val="99"/>
    <w:unhideWhenUsed/>
    <w:qFormat/>
    <w:rsid w:val="00F35D62"/>
    <w:pPr>
      <w:ind w:firstLine="420"/>
    </w:pPr>
  </w:style>
  <w:style w:type="table" w:styleId="ac">
    <w:name w:val="Table Grid"/>
    <w:basedOn w:val="a2"/>
    <w:qFormat/>
    <w:rsid w:val="00F35D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1"/>
    <w:qFormat/>
    <w:rsid w:val="00F35D62"/>
    <w:rPr>
      <w:sz w:val="21"/>
      <w:szCs w:val="21"/>
    </w:rPr>
  </w:style>
  <w:style w:type="paragraph" w:customStyle="1" w:styleId="30">
    <w:name w:val="标题3"/>
    <w:basedOn w:val="3"/>
    <w:next w:val="a"/>
    <w:qFormat/>
    <w:rsid w:val="00F35D62"/>
    <w:pPr>
      <w:spacing w:beforeLines="50" w:afterLines="50" w:line="240" w:lineRule="auto"/>
    </w:pPr>
    <w:rPr>
      <w:rFonts w:ascii="隶书" w:eastAsia="隶书" w:hAnsi="仿宋"/>
      <w:b w:val="0"/>
      <w:sz w:val="28"/>
      <w:szCs w:val="28"/>
    </w:rPr>
  </w:style>
  <w:style w:type="paragraph" w:customStyle="1" w:styleId="4">
    <w:name w:val="标题4"/>
    <w:basedOn w:val="30"/>
    <w:next w:val="a"/>
    <w:qFormat/>
    <w:rsid w:val="00F35D62"/>
    <w:pPr>
      <w:outlineLvl w:val="3"/>
    </w:pPr>
    <w:rPr>
      <w:rFonts w:ascii="楷体" w:eastAsia="楷体" w:hAnsi="楷体"/>
      <w:bCs w:val="0"/>
    </w:rPr>
  </w:style>
  <w:style w:type="paragraph" w:customStyle="1" w:styleId="ae">
    <w:name w:val="摘录引用方案"/>
    <w:basedOn w:val="a"/>
    <w:next w:val="a"/>
    <w:qFormat/>
    <w:rsid w:val="00F35D62"/>
    <w:rPr>
      <w:i/>
      <w:color w:val="FF0000"/>
    </w:rPr>
  </w:style>
  <w:style w:type="paragraph" w:customStyle="1" w:styleId="Body1">
    <w:name w:val="* Body1"/>
    <w:basedOn w:val="a"/>
    <w:qFormat/>
    <w:rsid w:val="00F35D62"/>
    <w:pPr>
      <w:spacing w:afterLines="50" w:line="360" w:lineRule="auto"/>
    </w:pPr>
    <w:rPr>
      <w:rFonts w:cs="宋体"/>
      <w:sz w:val="24"/>
    </w:rPr>
  </w:style>
  <w:style w:type="character" w:customStyle="1" w:styleId="Char1">
    <w:name w:val="页眉 Char"/>
    <w:basedOn w:val="a1"/>
    <w:link w:val="a8"/>
    <w:qFormat/>
    <w:rsid w:val="00F35D62"/>
    <w:rPr>
      <w:kern w:val="2"/>
      <w:sz w:val="18"/>
      <w:szCs w:val="18"/>
    </w:rPr>
  </w:style>
  <w:style w:type="character" w:customStyle="1" w:styleId="Char0">
    <w:name w:val="页脚 Char"/>
    <w:basedOn w:val="a1"/>
    <w:link w:val="a7"/>
    <w:qFormat/>
    <w:rsid w:val="00F35D62"/>
    <w:rPr>
      <w:kern w:val="2"/>
      <w:sz w:val="18"/>
      <w:szCs w:val="18"/>
    </w:rPr>
  </w:style>
  <w:style w:type="paragraph" w:customStyle="1" w:styleId="11">
    <w:name w:val="修订1"/>
    <w:hidden/>
    <w:uiPriority w:val="99"/>
    <w:unhideWhenUsed/>
    <w:qFormat/>
    <w:rsid w:val="00F35D62"/>
    <w:rPr>
      <w:kern w:val="2"/>
      <w:sz w:val="21"/>
      <w:szCs w:val="24"/>
    </w:rPr>
  </w:style>
  <w:style w:type="character" w:customStyle="1" w:styleId="Char">
    <w:name w:val="批注文字 Char"/>
    <w:basedOn w:val="a1"/>
    <w:link w:val="a4"/>
    <w:qFormat/>
    <w:rsid w:val="00F35D62"/>
    <w:rPr>
      <w:kern w:val="2"/>
      <w:sz w:val="21"/>
      <w:szCs w:val="24"/>
    </w:rPr>
  </w:style>
  <w:style w:type="character" w:customStyle="1" w:styleId="Char2">
    <w:name w:val="批注主题 Char"/>
    <w:basedOn w:val="Char"/>
    <w:link w:val="aa"/>
    <w:qFormat/>
    <w:rsid w:val="00F35D62"/>
    <w:rPr>
      <w:b/>
      <w:bCs/>
      <w:kern w:val="2"/>
      <w:sz w:val="21"/>
      <w:szCs w:val="24"/>
    </w:rPr>
  </w:style>
  <w:style w:type="paragraph" w:customStyle="1" w:styleId="WPSOffice1">
    <w:name w:val="WPSOffice手动目录 1"/>
    <w:qFormat/>
    <w:rsid w:val="00F35D62"/>
  </w:style>
  <w:style w:type="paragraph" w:customStyle="1" w:styleId="12">
    <w:name w:val="样式1"/>
    <w:basedOn w:val="a"/>
    <w:uiPriority w:val="99"/>
    <w:qFormat/>
    <w:rsid w:val="00F35D62"/>
    <w:pPr>
      <w:spacing w:line="560" w:lineRule="exact"/>
      <w:ind w:firstLineChars="200" w:firstLine="200"/>
    </w:pPr>
    <w:rPr>
      <w:rFonts w:ascii="仿宋_GB2312" w:eastAsia="仿宋_GB2312" w:hAnsi="宋体"/>
      <w:sz w:val="32"/>
    </w:rPr>
  </w:style>
  <w:style w:type="paragraph" w:customStyle="1" w:styleId="13">
    <w:name w:val="列出段落1"/>
    <w:basedOn w:val="a"/>
    <w:uiPriority w:val="34"/>
    <w:qFormat/>
    <w:rsid w:val="00F35D62"/>
    <w:pPr>
      <w:ind w:firstLine="420"/>
    </w:pPr>
    <w:rPr>
      <w:szCs w:val="22"/>
    </w:rPr>
  </w:style>
  <w:style w:type="paragraph" w:styleId="af">
    <w:name w:val="Balloon Text"/>
    <w:basedOn w:val="a"/>
    <w:link w:val="Char3"/>
    <w:rsid w:val="0021470B"/>
    <w:rPr>
      <w:sz w:val="18"/>
      <w:szCs w:val="18"/>
    </w:rPr>
  </w:style>
  <w:style w:type="character" w:customStyle="1" w:styleId="Char3">
    <w:name w:val="批注框文本 Char"/>
    <w:basedOn w:val="a1"/>
    <w:link w:val="af"/>
    <w:rsid w:val="0021470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zh-sunbb</dc:creator>
  <cp:lastModifiedBy>吴展</cp:lastModifiedBy>
  <cp:revision>10</cp:revision>
  <cp:lastPrinted>2025-03-05T00:29:00Z</cp:lastPrinted>
  <dcterms:created xsi:type="dcterms:W3CDTF">2023-06-09T18:35:00Z</dcterms:created>
  <dcterms:modified xsi:type="dcterms:W3CDTF">2026-05-06T02:53:00Z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A558D0E5E3464A1D99F748AA36025867</vt:lpwstr>
  </property>
</Properties>
</file>