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1631">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0" w:name="_Toc13475"/>
      <w:bookmarkStart w:id="1" w:name="_Toc11491"/>
      <w:bookmarkStart w:id="2" w:name="_Toc29671"/>
      <w:bookmarkStart w:id="25" w:name="_GoBack"/>
      <w:bookmarkEnd w:id="25"/>
      <w:r>
        <w:rPr>
          <w:rFonts w:ascii="宋体" w:hAnsi="宋体" w:eastAsia="宋体" w:cs="Times New Roman"/>
          <w:b/>
          <w:bCs/>
          <w:sz w:val="24"/>
          <w14:ligatures w14:val="none"/>
        </w:rPr>
        <w:t>一、</w:t>
      </w:r>
      <w:bookmarkEnd w:id="0"/>
      <w:r>
        <w:rPr>
          <w:rFonts w:ascii="宋体" w:hAnsi="宋体" w:eastAsia="宋体" w:cs="Times New Roman"/>
          <w:b/>
          <w:bCs/>
          <w:sz w:val="24"/>
          <w14:ligatures w14:val="none"/>
        </w:rPr>
        <w:t>项目介绍</w:t>
      </w:r>
      <w:bookmarkEnd w:id="1"/>
      <w:bookmarkEnd w:id="2"/>
    </w:p>
    <w:p w14:paraId="6B701F5B">
      <w:pPr>
        <w:keepNext/>
        <w:keepLines/>
        <w:adjustRightInd w:val="0"/>
        <w:spacing w:after="0" w:line="360" w:lineRule="auto"/>
        <w:ind w:firstLine="482" w:firstLineChars="200"/>
        <w:jc w:val="both"/>
        <w:textAlignment w:val="baseline"/>
        <w:outlineLvl w:val="1"/>
        <w:rPr>
          <w:rFonts w:hint="eastAsia" w:ascii="宋体" w:hAnsi="宋体" w:eastAsia="宋体" w:cs="楷体_GB2312"/>
          <w:b/>
          <w:bCs/>
          <w:sz w:val="24"/>
          <w14:ligatures w14:val="none"/>
        </w:rPr>
      </w:pPr>
      <w:bookmarkStart w:id="3" w:name="_Toc20375"/>
      <w:bookmarkStart w:id="4" w:name="_Toc14418"/>
      <w:r>
        <w:rPr>
          <w:rFonts w:hint="eastAsia" w:ascii="宋体" w:hAnsi="宋体" w:eastAsia="宋体" w:cs="楷体_GB2312"/>
          <w:b/>
          <w:bCs/>
          <w:sz w:val="24"/>
          <w14:ligatures w14:val="none"/>
        </w:rPr>
        <w:t>（一）项目背景概述</w:t>
      </w:r>
    </w:p>
    <w:p w14:paraId="2C98FE0A">
      <w:pPr>
        <w:adjustRightInd w:val="0"/>
        <w:spacing w:after="0" w:line="360" w:lineRule="auto"/>
        <w:ind w:firstLine="480" w:firstLineChars="200"/>
        <w:jc w:val="both"/>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为保证采购人顺利通过人行验收工作，开展行内模拟仿真验证工作。同时考虑在此期间，人行可能提出涉及验收的新要求，对于其中需要调整系统功能的要求，预留部分需求实施工作量（40人月）。</w:t>
      </w:r>
    </w:p>
    <w:p w14:paraId="5CC16D83">
      <w:pPr>
        <w:keepNext/>
        <w:keepLines/>
        <w:numPr>
          <w:ilvl w:val="0"/>
          <w:numId w:val="1"/>
        </w:numPr>
        <w:adjustRightInd w:val="0"/>
        <w:spacing w:after="0" w:line="360" w:lineRule="auto"/>
        <w:ind w:firstLine="482" w:firstLineChars="200"/>
        <w:jc w:val="both"/>
        <w:textAlignment w:val="baseline"/>
        <w:outlineLvl w:val="1"/>
        <w:rPr>
          <w:rFonts w:hint="eastAsia" w:ascii="宋体" w:hAnsi="宋体" w:eastAsia="宋体" w:cs="楷体_GB2312"/>
          <w:b/>
          <w:bCs/>
          <w:sz w:val="24"/>
          <w14:ligatures w14:val="none"/>
        </w:rPr>
      </w:pPr>
      <w:r>
        <w:rPr>
          <w:rFonts w:hint="eastAsia" w:ascii="宋体" w:hAnsi="宋体" w:eastAsia="宋体" w:cs="楷体_GB2312"/>
          <w:b/>
          <w:bCs/>
          <w:sz w:val="24"/>
          <w14:ligatures w14:val="none"/>
        </w:rPr>
        <w:t>需求依据和来源</w:t>
      </w:r>
    </w:p>
    <w:p w14:paraId="5F1DF67C">
      <w:pPr>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根据采购人自由贸易账户申办计划和总体安排，由分行提出增加</w:t>
      </w:r>
      <w:r>
        <w:rPr>
          <w:rFonts w:hint="eastAsia" w:ascii="宋体" w:hAnsi="宋体" w:eastAsia="宋体" w:cs="仿宋_GB2312"/>
          <w:color w:val="000000"/>
          <w:sz w:val="24"/>
          <w14:ligatures w14:val="none"/>
        </w:rPr>
        <w:t>模拟仿真验证的业务需求，同时考虑人行验收相关新要求和系统功能优化新需求的实施。</w:t>
      </w:r>
    </w:p>
    <w:p w14:paraId="04AB85E4">
      <w:pPr>
        <w:keepNext/>
        <w:keepLines/>
        <w:numPr>
          <w:ilvl w:val="0"/>
          <w:numId w:val="1"/>
        </w:numPr>
        <w:adjustRightInd w:val="0"/>
        <w:spacing w:after="0" w:line="360" w:lineRule="auto"/>
        <w:ind w:firstLine="482" w:firstLineChars="200"/>
        <w:jc w:val="both"/>
        <w:textAlignment w:val="baseline"/>
        <w:outlineLvl w:val="1"/>
        <w:rPr>
          <w:rFonts w:hint="eastAsia" w:ascii="宋体" w:hAnsi="宋体" w:eastAsia="宋体" w:cs="楷体_GB2312"/>
          <w:b/>
          <w:bCs/>
          <w:sz w:val="24"/>
          <w14:ligatures w14:val="none"/>
        </w:rPr>
      </w:pPr>
      <w:r>
        <w:rPr>
          <w:rFonts w:hint="eastAsia" w:ascii="宋体" w:hAnsi="宋体" w:eastAsia="宋体" w:cs="楷体_GB2312"/>
          <w:b/>
          <w:bCs/>
          <w:sz w:val="24"/>
          <w14:ligatures w14:val="none"/>
        </w:rPr>
        <w:t>功能或目标</w:t>
      </w:r>
    </w:p>
    <w:bookmarkEnd w:id="3"/>
    <w:p w14:paraId="1569035D">
      <w:pPr>
        <w:adjustRightInd w:val="0"/>
        <w:spacing w:after="0" w:line="360" w:lineRule="auto"/>
        <w:ind w:firstLine="480" w:firstLineChars="200"/>
        <w:textAlignment w:val="baseline"/>
        <w:rPr>
          <w:rFonts w:hint="eastAsia" w:ascii="宋体" w:hAnsi="宋体" w:eastAsia="宋体" w:cs="Times New Roman"/>
          <w:sz w:val="24"/>
          <w14:ligatures w14:val="none"/>
        </w:rPr>
      </w:pPr>
      <w:bookmarkStart w:id="5" w:name="_Toc16185"/>
      <w:r>
        <w:rPr>
          <w:rFonts w:hint="eastAsia" w:ascii="宋体" w:hAnsi="宋体" w:eastAsia="宋体" w:cs="Times New Roman"/>
          <w:sz w:val="24"/>
          <w14:ligatures w14:val="none"/>
        </w:rPr>
        <w:t>提供两轮模拟仿真验证技术支持。如有涉及验收的新需求，完成相应系统功能改造工作。</w:t>
      </w:r>
    </w:p>
    <w:bookmarkEnd w:id="4"/>
    <w:p w14:paraId="170E004A">
      <w:pPr>
        <w:keepNext/>
        <w:keepLines/>
        <w:numPr>
          <w:ilvl w:val="0"/>
          <w:numId w:val="2"/>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6" w:name="_Toc20954"/>
      <w:r>
        <w:rPr>
          <w:rFonts w:ascii="宋体" w:hAnsi="宋体" w:eastAsia="宋体" w:cs="Times New Roman"/>
          <w:b/>
          <w:bCs/>
          <w:sz w:val="24"/>
          <w14:ligatures w14:val="none"/>
        </w:rPr>
        <w:t>服务一览表</w:t>
      </w:r>
      <w:bookmarkEnd w:id="5"/>
      <w:bookmarkEnd w:id="6"/>
    </w:p>
    <w:tbl>
      <w:tblPr>
        <w:tblStyle w:val="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2"/>
        <w:gridCol w:w="1322"/>
        <w:gridCol w:w="6445"/>
      </w:tblGrid>
      <w:tr w14:paraId="7B96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99" w:type="dxa"/>
            <w:tcBorders>
              <w:top w:val="single" w:color="auto" w:sz="4" w:space="0"/>
              <w:left w:val="single" w:color="auto" w:sz="4" w:space="0"/>
              <w:right w:val="single" w:color="auto" w:sz="4" w:space="0"/>
            </w:tcBorders>
            <w:vAlign w:val="center"/>
          </w:tcPr>
          <w:p w14:paraId="11273EB7">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序号</w:t>
            </w:r>
          </w:p>
        </w:tc>
        <w:tc>
          <w:tcPr>
            <w:tcW w:w="1322" w:type="dxa"/>
            <w:tcBorders>
              <w:top w:val="single" w:color="auto" w:sz="4" w:space="0"/>
              <w:left w:val="single" w:color="auto" w:sz="4" w:space="0"/>
              <w:bottom w:val="single" w:color="auto" w:sz="4" w:space="0"/>
              <w:right w:val="single" w:color="auto" w:sz="4" w:space="0"/>
            </w:tcBorders>
            <w:vAlign w:val="center"/>
          </w:tcPr>
          <w:p w14:paraId="55FF9E46">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服务分类</w:t>
            </w:r>
          </w:p>
        </w:tc>
        <w:tc>
          <w:tcPr>
            <w:tcW w:w="1322" w:type="dxa"/>
            <w:tcBorders>
              <w:top w:val="single" w:color="auto" w:sz="4" w:space="0"/>
              <w:left w:val="single" w:color="auto" w:sz="4" w:space="0"/>
              <w:right w:val="single" w:color="auto" w:sz="4" w:space="0"/>
            </w:tcBorders>
            <w:vAlign w:val="center"/>
          </w:tcPr>
          <w:p w14:paraId="26FAFF26">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服务内容</w:t>
            </w:r>
          </w:p>
        </w:tc>
        <w:tc>
          <w:tcPr>
            <w:tcW w:w="6445" w:type="dxa"/>
            <w:tcBorders>
              <w:top w:val="single" w:color="auto" w:sz="4" w:space="0"/>
              <w:left w:val="single" w:color="auto" w:sz="4" w:space="0"/>
              <w:right w:val="single" w:color="auto" w:sz="4" w:space="0"/>
            </w:tcBorders>
            <w:vAlign w:val="center"/>
          </w:tcPr>
          <w:p w14:paraId="0C1AE6DB">
            <w:pPr>
              <w:spacing w:after="0" w:line="240" w:lineRule="auto"/>
              <w:jc w:val="center"/>
              <w:rPr>
                <w:rFonts w:hint="eastAsia" w:ascii="宋体" w:hAnsi="宋体" w:eastAsia="宋体" w:cs="黑体"/>
                <w:b/>
                <w:bCs/>
                <w:sz w:val="24"/>
                <w14:ligatures w14:val="none"/>
              </w:rPr>
            </w:pPr>
            <w:r>
              <w:rPr>
                <w:rFonts w:ascii="宋体" w:hAnsi="宋体" w:eastAsia="宋体" w:cs="黑体"/>
                <w:b/>
                <w:bCs/>
                <w:sz w:val="24"/>
                <w14:ligatures w14:val="none"/>
              </w:rPr>
              <w:t>主要</w:t>
            </w:r>
            <w:r>
              <w:rPr>
                <w:rFonts w:hint="eastAsia" w:ascii="宋体" w:hAnsi="宋体" w:eastAsia="宋体" w:cs="黑体"/>
                <w:b/>
                <w:bCs/>
                <w:sz w:val="24"/>
                <w14:ligatures w14:val="none"/>
              </w:rPr>
              <w:t>工作</w:t>
            </w:r>
          </w:p>
        </w:tc>
      </w:tr>
      <w:tr w14:paraId="1605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9" w:type="dxa"/>
            <w:tcBorders>
              <w:top w:val="single" w:color="auto" w:sz="4" w:space="0"/>
              <w:left w:val="single" w:color="auto" w:sz="4" w:space="0"/>
              <w:right w:val="single" w:color="auto" w:sz="4" w:space="0"/>
            </w:tcBorders>
            <w:vAlign w:val="center"/>
          </w:tcPr>
          <w:p w14:paraId="49E5093C">
            <w:pPr>
              <w:numPr>
                <w:ilvl w:val="0"/>
                <w:numId w:val="3"/>
              </w:numPr>
              <w:spacing w:after="0" w:line="240" w:lineRule="auto"/>
              <w:jc w:val="center"/>
              <w:rPr>
                <w:rFonts w:hint="eastAsia" w:ascii="宋体" w:hAnsi="宋体" w:eastAsia="宋体" w:cs="Times New Roman"/>
                <w:sz w:val="24"/>
                <w14:ligatures w14:val="none"/>
              </w:rPr>
            </w:pPr>
          </w:p>
        </w:tc>
        <w:tc>
          <w:tcPr>
            <w:tcW w:w="1322" w:type="dxa"/>
            <w:tcBorders>
              <w:top w:val="single" w:color="auto" w:sz="4" w:space="0"/>
              <w:left w:val="single" w:color="auto" w:sz="4" w:space="0"/>
              <w:right w:val="single" w:color="auto" w:sz="4" w:space="0"/>
            </w:tcBorders>
            <w:vAlign w:val="center"/>
          </w:tcPr>
          <w:p w14:paraId="77CAFCE9">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tc>
        <w:tc>
          <w:tcPr>
            <w:tcW w:w="1322" w:type="dxa"/>
            <w:tcBorders>
              <w:top w:val="single" w:color="auto" w:sz="4" w:space="0"/>
              <w:left w:val="single" w:color="auto" w:sz="4" w:space="0"/>
              <w:right w:val="single" w:color="auto" w:sz="4" w:space="0"/>
            </w:tcBorders>
            <w:vAlign w:val="center"/>
          </w:tcPr>
          <w:p w14:paraId="14A2231B">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tc>
        <w:tc>
          <w:tcPr>
            <w:tcW w:w="6445" w:type="dxa"/>
            <w:tcBorders>
              <w:top w:val="single" w:color="auto" w:sz="4" w:space="0"/>
              <w:left w:val="single" w:color="auto" w:sz="4" w:space="0"/>
              <w:right w:val="single" w:color="auto" w:sz="4" w:space="0"/>
            </w:tcBorders>
            <w:vAlign w:val="center"/>
          </w:tcPr>
          <w:p w14:paraId="4F322B7F">
            <w:pPr>
              <w:widowControl/>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配合采购人开展以下工作：</w:t>
            </w:r>
            <w:r>
              <w:rPr>
                <w:rFonts w:ascii="宋体" w:hAnsi="宋体" w:eastAsia="宋体" w:cs="Times New Roman"/>
                <w:sz w:val="24"/>
                <w14:ligatures w14:val="none"/>
              </w:rPr>
              <w:t>制定项目计划，监督和控制项目进度</w:t>
            </w:r>
            <w:r>
              <w:rPr>
                <w:rFonts w:hint="eastAsia" w:ascii="宋体" w:hAnsi="宋体" w:eastAsia="宋体" w:cs="Times New Roman"/>
                <w:sz w:val="24"/>
                <w14:ligatures w14:val="none"/>
              </w:rPr>
              <w:t>；</w:t>
            </w:r>
            <w:r>
              <w:rPr>
                <w:rFonts w:ascii="宋体" w:hAnsi="宋体" w:eastAsia="宋体" w:cs="Times New Roman"/>
                <w:sz w:val="24"/>
                <w14:ligatures w14:val="none"/>
              </w:rPr>
              <w:t>负责管理安排项目资源</w:t>
            </w:r>
            <w:r>
              <w:rPr>
                <w:rFonts w:hint="eastAsia" w:ascii="宋体" w:hAnsi="宋体" w:eastAsia="宋体" w:cs="Times New Roman"/>
                <w:sz w:val="24"/>
                <w14:ligatures w14:val="none"/>
              </w:rPr>
              <w:t>；开展</w:t>
            </w:r>
            <w:r>
              <w:rPr>
                <w:rFonts w:ascii="宋体" w:hAnsi="宋体" w:eastAsia="宋体" w:cs="Times New Roman"/>
                <w:sz w:val="24"/>
                <w14:ligatures w14:val="none"/>
              </w:rPr>
              <w:t>实施项目配置和交付管理以及项目质量管理</w:t>
            </w:r>
            <w:r>
              <w:rPr>
                <w:rFonts w:hint="eastAsia" w:ascii="宋体" w:hAnsi="宋体" w:eastAsia="宋体" w:cs="Times New Roman"/>
                <w:sz w:val="24"/>
                <w14:ligatures w14:val="none"/>
              </w:rPr>
              <w:t>；开展</w:t>
            </w:r>
            <w:r>
              <w:rPr>
                <w:rFonts w:ascii="宋体" w:hAnsi="宋体" w:eastAsia="宋体" w:cs="Times New Roman"/>
                <w:sz w:val="24"/>
                <w14:ligatures w14:val="none"/>
              </w:rPr>
              <w:t>项目问题管理和项目风险管理</w:t>
            </w:r>
            <w:r>
              <w:rPr>
                <w:rFonts w:hint="eastAsia" w:ascii="宋体" w:hAnsi="宋体" w:eastAsia="宋体" w:cs="Times New Roman"/>
                <w:sz w:val="24"/>
                <w14:ligatures w14:val="none"/>
              </w:rPr>
              <w:t>；</w:t>
            </w:r>
            <w:r>
              <w:rPr>
                <w:rFonts w:ascii="宋体" w:hAnsi="宋体" w:eastAsia="宋体" w:cs="Times New Roman"/>
                <w:sz w:val="24"/>
                <w14:ligatures w14:val="none"/>
              </w:rPr>
              <w:t>按照要求</w:t>
            </w:r>
            <w:r>
              <w:rPr>
                <w:rFonts w:hint="eastAsia" w:ascii="宋体" w:hAnsi="宋体" w:eastAsia="宋体" w:cs="Times New Roman"/>
                <w:sz w:val="24"/>
                <w14:ligatures w14:val="none"/>
              </w:rPr>
              <w:t>定期</w:t>
            </w:r>
            <w:r>
              <w:rPr>
                <w:rFonts w:ascii="宋体" w:hAnsi="宋体" w:eastAsia="宋体" w:cs="Times New Roman"/>
                <w:sz w:val="24"/>
                <w14:ligatures w14:val="none"/>
              </w:rPr>
              <w:t>进行工作报告</w:t>
            </w:r>
            <w:r>
              <w:rPr>
                <w:rFonts w:hint="eastAsia" w:ascii="宋体" w:hAnsi="宋体" w:eastAsia="宋体" w:cs="Times New Roman"/>
                <w:sz w:val="24"/>
                <w14:ligatures w14:val="none"/>
              </w:rPr>
              <w:t>等</w:t>
            </w:r>
          </w:p>
        </w:tc>
      </w:tr>
      <w:tr w14:paraId="390D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9" w:type="dxa"/>
            <w:tcBorders>
              <w:top w:val="single" w:color="auto" w:sz="4" w:space="0"/>
              <w:left w:val="single" w:color="auto" w:sz="4" w:space="0"/>
              <w:right w:val="single" w:color="auto" w:sz="4" w:space="0"/>
            </w:tcBorders>
            <w:vAlign w:val="center"/>
          </w:tcPr>
          <w:p w14:paraId="359BB9BA">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restart"/>
            <w:tcBorders>
              <w:top w:val="single" w:color="auto" w:sz="4" w:space="0"/>
              <w:left w:val="single" w:color="auto" w:sz="4" w:space="0"/>
              <w:right w:val="single" w:color="auto" w:sz="4" w:space="0"/>
            </w:tcBorders>
            <w:vAlign w:val="center"/>
          </w:tcPr>
          <w:p w14:paraId="7810DE86">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w:t>
            </w:r>
          </w:p>
        </w:tc>
        <w:tc>
          <w:tcPr>
            <w:tcW w:w="1322" w:type="dxa"/>
            <w:tcBorders>
              <w:top w:val="single" w:color="auto" w:sz="4" w:space="0"/>
              <w:left w:val="single" w:color="auto" w:sz="4" w:space="0"/>
              <w:right w:val="single" w:color="auto" w:sz="4" w:space="0"/>
            </w:tcBorders>
            <w:vAlign w:val="center"/>
          </w:tcPr>
          <w:p w14:paraId="4A8FB1A5">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总体支持</w:t>
            </w:r>
          </w:p>
        </w:tc>
        <w:tc>
          <w:tcPr>
            <w:tcW w:w="6445" w:type="dxa"/>
            <w:tcBorders>
              <w:top w:val="single" w:color="auto" w:sz="4" w:space="0"/>
              <w:left w:val="single" w:color="auto" w:sz="4" w:space="0"/>
              <w:right w:val="single" w:color="auto" w:sz="4" w:space="0"/>
            </w:tcBorders>
            <w:vAlign w:val="center"/>
          </w:tcPr>
          <w:p w14:paraId="3D36AA0B">
            <w:pPr>
              <w:widowControl/>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配合采购人制定验证方案和计划，并管理执行情况</w:t>
            </w:r>
          </w:p>
        </w:tc>
      </w:tr>
      <w:tr w14:paraId="39C3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9" w:type="dxa"/>
            <w:tcBorders>
              <w:top w:val="single" w:color="auto" w:sz="4" w:space="0"/>
              <w:left w:val="single" w:color="auto" w:sz="4" w:space="0"/>
              <w:right w:val="single" w:color="auto" w:sz="4" w:space="0"/>
            </w:tcBorders>
            <w:vAlign w:val="center"/>
          </w:tcPr>
          <w:p w14:paraId="3DA5EF4D">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10DDAF53">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055A00D5">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环境搭建</w:t>
            </w:r>
          </w:p>
        </w:tc>
        <w:tc>
          <w:tcPr>
            <w:tcW w:w="6445" w:type="dxa"/>
            <w:tcBorders>
              <w:top w:val="single" w:color="auto" w:sz="4" w:space="0"/>
              <w:left w:val="single" w:color="auto" w:sz="4" w:space="0"/>
              <w:right w:val="single" w:color="auto" w:sz="4" w:space="0"/>
            </w:tcBorders>
            <w:vAlign w:val="center"/>
          </w:tcPr>
          <w:p w14:paraId="31BDD123">
            <w:pPr>
              <w:widowControl/>
              <w:spacing w:after="0" w:line="240" w:lineRule="auto"/>
              <w:rPr>
                <w:rFonts w:hint="eastAsia" w:ascii="宋体" w:hAnsi="宋体" w:eastAsia="宋体" w:cs="仿宋_GB2312"/>
                <w:sz w:val="24"/>
                <w14:ligatures w14:val="none"/>
              </w:rPr>
            </w:pPr>
            <w:r>
              <w:rPr>
                <w:rFonts w:hint="eastAsia" w:ascii="宋体" w:hAnsi="宋体" w:eastAsia="宋体" w:cs="Times New Roman"/>
                <w:sz w:val="24"/>
                <w14:ligatures w14:val="none"/>
              </w:rPr>
              <w:t>在采购人提供的测试环境中，搭建用于模拟仿真验证的测试环境，完成版本部署、参数配置、数据准备和系统联通测试</w:t>
            </w:r>
          </w:p>
        </w:tc>
      </w:tr>
      <w:tr w14:paraId="3675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9" w:type="dxa"/>
            <w:tcBorders>
              <w:top w:val="single" w:color="auto" w:sz="4" w:space="0"/>
              <w:left w:val="single" w:color="auto" w:sz="4" w:space="0"/>
              <w:right w:val="single" w:color="auto" w:sz="4" w:space="0"/>
            </w:tcBorders>
            <w:vAlign w:val="center"/>
          </w:tcPr>
          <w:p w14:paraId="77848649">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1AD6E340">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256CBE8F">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仿真验证支持</w:t>
            </w:r>
          </w:p>
        </w:tc>
        <w:tc>
          <w:tcPr>
            <w:tcW w:w="6445" w:type="dxa"/>
            <w:tcBorders>
              <w:top w:val="single" w:color="auto" w:sz="4" w:space="0"/>
              <w:left w:val="single" w:color="auto" w:sz="4" w:space="0"/>
              <w:right w:val="single" w:color="auto" w:sz="4" w:space="0"/>
            </w:tcBorders>
            <w:vAlign w:val="center"/>
          </w:tcPr>
          <w:p w14:paraId="4337C5FD">
            <w:pPr>
              <w:widowControl/>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按计划</w:t>
            </w:r>
            <w:r>
              <w:rPr>
                <w:rFonts w:hint="eastAsia" w:ascii="宋体" w:hAnsi="宋体" w:eastAsia="宋体" w:cs="仿宋_GB2312"/>
                <w:sz w:val="24"/>
                <w14:ligatures w14:val="none"/>
              </w:rPr>
              <w:t>开展两轮案例执行，验证业务、账务、报表和数据各自的准确性和相互的对应关系，</w:t>
            </w:r>
            <w:r>
              <w:rPr>
                <w:rFonts w:hint="eastAsia" w:ascii="宋体" w:hAnsi="宋体" w:eastAsia="宋体" w:cs="Times New Roman"/>
                <w:sz w:val="24"/>
                <w14:ligatures w14:val="none"/>
              </w:rPr>
              <w:t>包括案例执行、切日跑批、问题定位分析及相关技术保障等工作</w:t>
            </w:r>
          </w:p>
        </w:tc>
      </w:tr>
      <w:tr w14:paraId="2C8D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99" w:type="dxa"/>
            <w:tcBorders>
              <w:left w:val="single" w:color="auto" w:sz="4" w:space="0"/>
              <w:bottom w:val="single" w:color="auto" w:sz="4" w:space="0"/>
              <w:right w:val="single" w:color="auto" w:sz="4" w:space="0"/>
            </w:tcBorders>
            <w:vAlign w:val="center"/>
          </w:tcPr>
          <w:p w14:paraId="6CB6BE0C">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restart"/>
            <w:tcBorders>
              <w:left w:val="single" w:color="auto" w:sz="4" w:space="0"/>
              <w:right w:val="single" w:color="auto" w:sz="4" w:space="0"/>
            </w:tcBorders>
            <w:vAlign w:val="center"/>
          </w:tcPr>
          <w:p w14:paraId="67CA9AF9">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新增需求实施</w:t>
            </w:r>
          </w:p>
          <w:p w14:paraId="49E7D21F">
            <w:pPr>
              <w:widowControl/>
              <w:spacing w:after="0" w:line="240" w:lineRule="auto"/>
              <w:jc w:val="center"/>
              <w:rPr>
                <w:rFonts w:hint="eastAsia" w:ascii="宋体" w:hAnsi="宋体" w:eastAsia="宋体" w:cs="Times New Roman"/>
                <w:sz w:val="24"/>
                <w14:ligatures w14:val="none"/>
              </w:rPr>
            </w:pPr>
            <w:r>
              <w:rPr>
                <w:rFonts w:hint="eastAsia" w:ascii="宋体" w:hAnsi="宋体" w:eastAsia="宋体" w:cs="仿宋_GB2312"/>
                <w:w w:val="90"/>
                <w:sz w:val="24"/>
                <w14:ligatures w14:val="none"/>
              </w:rPr>
              <w:t>（40人月）</w:t>
            </w:r>
          </w:p>
        </w:tc>
        <w:tc>
          <w:tcPr>
            <w:tcW w:w="1322" w:type="dxa"/>
            <w:tcBorders>
              <w:left w:val="single" w:color="auto" w:sz="4" w:space="0"/>
              <w:bottom w:val="single" w:color="auto" w:sz="4" w:space="0"/>
              <w:right w:val="single" w:color="auto" w:sz="4" w:space="0"/>
            </w:tcBorders>
            <w:vAlign w:val="center"/>
          </w:tcPr>
          <w:p w14:paraId="799BD3D7">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需求分析</w:t>
            </w:r>
          </w:p>
        </w:tc>
        <w:tc>
          <w:tcPr>
            <w:tcW w:w="6445" w:type="dxa"/>
            <w:tcBorders>
              <w:left w:val="single" w:color="auto" w:sz="4" w:space="0"/>
              <w:bottom w:val="single" w:color="auto" w:sz="4" w:space="0"/>
              <w:right w:val="single" w:color="auto" w:sz="4" w:space="0"/>
            </w:tcBorders>
            <w:vAlign w:val="center"/>
          </w:tcPr>
          <w:p w14:paraId="3649CF56">
            <w:pPr>
              <w:widowControl/>
              <w:spacing w:after="0" w:line="240" w:lineRule="auto"/>
              <w:jc w:val="both"/>
              <w:rPr>
                <w:rFonts w:hint="eastAsia" w:ascii="宋体" w:hAnsi="宋体" w:eastAsia="宋体" w:cs="仿宋_GB2312"/>
                <w:sz w:val="24"/>
                <w14:ligatures w14:val="none"/>
              </w:rPr>
            </w:pPr>
            <w:r>
              <w:rPr>
                <w:rFonts w:ascii="宋体" w:hAnsi="宋体" w:eastAsia="宋体" w:cs="仿宋_GB2312"/>
                <w:sz w:val="24"/>
                <w14:ligatures w14:val="none"/>
              </w:rPr>
              <w:t>根据</w:t>
            </w:r>
            <w:r>
              <w:rPr>
                <w:rFonts w:hint="eastAsia" w:ascii="宋体" w:hAnsi="宋体" w:eastAsia="宋体" w:cs="仿宋_GB2312"/>
                <w:sz w:val="24"/>
                <w14:ligatures w14:val="none"/>
              </w:rPr>
              <w:t>业务要求，梳理转化为业务对系统功能性和非功能性等具体要求，形成需求规格说明书</w:t>
            </w:r>
          </w:p>
        </w:tc>
      </w:tr>
      <w:tr w14:paraId="52E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99" w:type="dxa"/>
            <w:tcBorders>
              <w:left w:val="single" w:color="auto" w:sz="4" w:space="0"/>
              <w:bottom w:val="single" w:color="auto" w:sz="4" w:space="0"/>
              <w:right w:val="single" w:color="auto" w:sz="4" w:space="0"/>
            </w:tcBorders>
            <w:vAlign w:val="center"/>
          </w:tcPr>
          <w:p w14:paraId="37FBDB5B">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778C06EA">
            <w:pPr>
              <w:widowControl/>
              <w:spacing w:after="0" w:line="240" w:lineRule="auto"/>
              <w:jc w:val="center"/>
              <w:rPr>
                <w:rFonts w:hint="eastAsia" w:ascii="宋体" w:hAnsi="宋体" w:eastAsia="宋体" w:cs="仿宋_GB2312"/>
                <w:sz w:val="24"/>
                <w14:ligatures w14:val="none"/>
              </w:rPr>
            </w:pPr>
          </w:p>
        </w:tc>
        <w:tc>
          <w:tcPr>
            <w:tcW w:w="1322" w:type="dxa"/>
            <w:tcBorders>
              <w:left w:val="single" w:color="auto" w:sz="4" w:space="0"/>
              <w:bottom w:val="single" w:color="auto" w:sz="4" w:space="0"/>
              <w:right w:val="single" w:color="auto" w:sz="4" w:space="0"/>
            </w:tcBorders>
            <w:vAlign w:val="center"/>
          </w:tcPr>
          <w:p w14:paraId="630B1490">
            <w:pPr>
              <w:widowControl/>
              <w:spacing w:after="0" w:line="240" w:lineRule="auto"/>
              <w:jc w:val="center"/>
              <w:rPr>
                <w:rFonts w:hint="eastAsia" w:ascii="宋体" w:hAnsi="宋体" w:eastAsia="宋体" w:cs="仿宋_GB2312"/>
                <w:sz w:val="24"/>
                <w14:ligatures w14:val="none"/>
              </w:rPr>
            </w:pPr>
            <w:r>
              <w:rPr>
                <w:rFonts w:ascii="宋体" w:hAnsi="宋体" w:eastAsia="宋体" w:cs="仿宋_GB2312"/>
                <w:sz w:val="24"/>
                <w14:ligatures w14:val="none"/>
              </w:rPr>
              <w:t>设</w:t>
            </w:r>
            <w:r>
              <w:rPr>
                <w:rFonts w:hint="eastAsia" w:ascii="宋体" w:hAnsi="宋体" w:eastAsia="宋体" w:cs="仿宋_GB2312"/>
                <w:sz w:val="24"/>
                <w14:ligatures w14:val="none"/>
              </w:rPr>
              <w:t xml:space="preserve">  </w:t>
            </w:r>
            <w:r>
              <w:rPr>
                <w:rFonts w:ascii="宋体" w:hAnsi="宋体" w:eastAsia="宋体" w:cs="仿宋_GB2312"/>
                <w:sz w:val="24"/>
                <w14:ligatures w14:val="none"/>
              </w:rPr>
              <w:t>计</w:t>
            </w:r>
          </w:p>
        </w:tc>
        <w:tc>
          <w:tcPr>
            <w:tcW w:w="6445" w:type="dxa"/>
            <w:tcBorders>
              <w:left w:val="single" w:color="auto" w:sz="4" w:space="0"/>
              <w:bottom w:val="single" w:color="auto" w:sz="4" w:space="0"/>
              <w:right w:val="single" w:color="auto" w:sz="4" w:space="0"/>
            </w:tcBorders>
            <w:vAlign w:val="center"/>
          </w:tcPr>
          <w:p w14:paraId="6AA9B715">
            <w:pPr>
              <w:widowControl/>
              <w:spacing w:after="0" w:line="240" w:lineRule="auto"/>
              <w:jc w:val="both"/>
              <w:rPr>
                <w:rFonts w:hint="eastAsia" w:ascii="宋体" w:hAnsi="宋体" w:eastAsia="宋体" w:cs="仿宋_GB2312"/>
                <w:sz w:val="24"/>
                <w14:ligatures w14:val="none"/>
              </w:rPr>
            </w:pPr>
            <w:r>
              <w:rPr>
                <w:rFonts w:ascii="宋体" w:hAnsi="宋体" w:eastAsia="宋体" w:cs="仿宋_GB2312"/>
                <w:sz w:val="24"/>
                <w14:ligatures w14:val="none"/>
              </w:rPr>
              <w:t>完成</w:t>
            </w:r>
            <w:r>
              <w:rPr>
                <w:rFonts w:hint="eastAsia" w:ascii="宋体" w:hAnsi="宋体" w:eastAsia="宋体" w:cs="仿宋_GB2312"/>
                <w:sz w:val="24"/>
                <w14:ligatures w14:val="none"/>
              </w:rPr>
              <w:t>相关</w:t>
            </w:r>
            <w:r>
              <w:rPr>
                <w:rFonts w:ascii="宋体" w:hAnsi="宋体" w:eastAsia="宋体" w:cs="仿宋_GB2312"/>
                <w:sz w:val="24"/>
                <w14:ligatures w14:val="none"/>
              </w:rPr>
              <w:t>物理子系统的概要设计、详细设计等相关工作，形成相应</w:t>
            </w:r>
            <w:r>
              <w:rPr>
                <w:rFonts w:hint="eastAsia" w:ascii="宋体" w:hAnsi="宋体" w:eastAsia="宋体" w:cs="仿宋_GB2312"/>
                <w:sz w:val="24"/>
                <w14:ligatures w14:val="none"/>
              </w:rPr>
              <w:t>设计</w:t>
            </w:r>
            <w:r>
              <w:rPr>
                <w:rFonts w:ascii="宋体" w:hAnsi="宋体" w:eastAsia="宋体" w:cs="仿宋_GB2312"/>
                <w:sz w:val="24"/>
                <w14:ligatures w14:val="none"/>
              </w:rPr>
              <w:t>说明书</w:t>
            </w:r>
          </w:p>
        </w:tc>
      </w:tr>
      <w:tr w14:paraId="6F55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99" w:type="dxa"/>
            <w:tcBorders>
              <w:top w:val="single" w:color="auto" w:sz="4" w:space="0"/>
              <w:left w:val="single" w:color="auto" w:sz="4" w:space="0"/>
              <w:right w:val="single" w:color="auto" w:sz="4" w:space="0"/>
            </w:tcBorders>
            <w:vAlign w:val="center"/>
          </w:tcPr>
          <w:p w14:paraId="4E9EFCE2">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31D6F691">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7AFA641D">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开  发</w:t>
            </w:r>
          </w:p>
        </w:tc>
        <w:tc>
          <w:tcPr>
            <w:tcW w:w="6445" w:type="dxa"/>
            <w:tcBorders>
              <w:top w:val="single" w:color="auto" w:sz="4" w:space="0"/>
              <w:left w:val="single" w:color="auto" w:sz="4" w:space="0"/>
              <w:right w:val="single" w:color="auto" w:sz="4" w:space="0"/>
            </w:tcBorders>
            <w:vAlign w:val="center"/>
          </w:tcPr>
          <w:p w14:paraId="53D80D9D">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根据功能设计按计划完成开发，实现设计功能</w:t>
            </w:r>
            <w:r>
              <w:rPr>
                <w:rFonts w:ascii="宋体" w:hAnsi="宋体" w:eastAsia="宋体" w:cs="仿宋_GB2312"/>
                <w:sz w:val="24"/>
                <w14:ligatures w14:val="none"/>
              </w:rPr>
              <w:t>，</w:t>
            </w:r>
            <w:r>
              <w:rPr>
                <w:rFonts w:hint="eastAsia" w:ascii="宋体" w:hAnsi="宋体" w:eastAsia="宋体" w:cs="仿宋_GB2312"/>
                <w:sz w:val="24"/>
                <w14:ligatures w14:val="none"/>
              </w:rPr>
              <w:t>完成单元测试等工作</w:t>
            </w:r>
          </w:p>
        </w:tc>
      </w:tr>
      <w:tr w14:paraId="0C05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99" w:type="dxa"/>
            <w:tcBorders>
              <w:top w:val="single" w:color="auto" w:sz="4" w:space="0"/>
              <w:left w:val="single" w:color="auto" w:sz="4" w:space="0"/>
              <w:right w:val="single" w:color="auto" w:sz="4" w:space="0"/>
            </w:tcBorders>
            <w:vAlign w:val="center"/>
          </w:tcPr>
          <w:p w14:paraId="20C92A29">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33E0C590">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14120DBE">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测  试</w:t>
            </w:r>
          </w:p>
        </w:tc>
        <w:tc>
          <w:tcPr>
            <w:tcW w:w="6445" w:type="dxa"/>
            <w:tcBorders>
              <w:top w:val="single" w:color="auto" w:sz="4" w:space="0"/>
              <w:left w:val="single" w:color="auto" w:sz="4" w:space="0"/>
              <w:right w:val="single" w:color="auto" w:sz="4" w:space="0"/>
            </w:tcBorders>
            <w:vAlign w:val="center"/>
          </w:tcPr>
          <w:p w14:paraId="2283D3C3">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开展产品、系统集成等测试工作，包括测试计划、准备和执行，完成测试案例、脚本及数据的编制和准备，及时组织系统修补和必要的回归测试，形成测试报告；协助开展用户验收测试相关工作</w:t>
            </w:r>
          </w:p>
        </w:tc>
      </w:tr>
      <w:tr w14:paraId="7D68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vAlign w:val="center"/>
          </w:tcPr>
          <w:p w14:paraId="7CE82972">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55284909">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2B5E8E3C">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投产运维</w:t>
            </w:r>
          </w:p>
        </w:tc>
        <w:tc>
          <w:tcPr>
            <w:tcW w:w="6445" w:type="dxa"/>
            <w:tcBorders>
              <w:top w:val="single" w:color="auto" w:sz="4" w:space="0"/>
              <w:left w:val="single" w:color="auto" w:sz="4" w:space="0"/>
              <w:right w:val="single" w:color="auto" w:sz="4" w:space="0"/>
            </w:tcBorders>
            <w:vAlign w:val="center"/>
          </w:tcPr>
          <w:p w14:paraId="2774CEAD">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为系统投产演练和投产上线等提供必要支持，包括但不限于各类方案计划和流程策略的制定、现场人员支持及运维培训等工作</w:t>
            </w:r>
          </w:p>
        </w:tc>
      </w:tr>
      <w:tr w14:paraId="3E6C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99" w:type="dxa"/>
            <w:tcBorders>
              <w:top w:val="single" w:color="auto" w:sz="4" w:space="0"/>
              <w:left w:val="single" w:color="auto" w:sz="4" w:space="0"/>
              <w:right w:val="single" w:color="auto" w:sz="4" w:space="0"/>
            </w:tcBorders>
            <w:vAlign w:val="center"/>
          </w:tcPr>
          <w:p w14:paraId="1413FDC3">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3B6ACB42">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7D69E106">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应用运维</w:t>
            </w:r>
          </w:p>
        </w:tc>
        <w:tc>
          <w:tcPr>
            <w:tcW w:w="6445" w:type="dxa"/>
            <w:tcBorders>
              <w:top w:val="single" w:color="auto" w:sz="4" w:space="0"/>
              <w:left w:val="single" w:color="auto" w:sz="4" w:space="0"/>
              <w:right w:val="single" w:color="auto" w:sz="4" w:space="0"/>
            </w:tcBorders>
            <w:vAlign w:val="center"/>
          </w:tcPr>
          <w:p w14:paraId="3C6F9168">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在本项目投产后至合同周期结束前，安排人员负责本项目开发、改造功能的日常应用二级运维工作。</w:t>
            </w:r>
          </w:p>
        </w:tc>
      </w:tr>
      <w:tr w14:paraId="1D7B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99" w:type="dxa"/>
            <w:tcBorders>
              <w:top w:val="single" w:color="auto" w:sz="4" w:space="0"/>
              <w:left w:val="single" w:color="auto" w:sz="4" w:space="0"/>
              <w:right w:val="single" w:color="auto" w:sz="4" w:space="0"/>
            </w:tcBorders>
            <w:vAlign w:val="center"/>
          </w:tcPr>
          <w:p w14:paraId="3F4C9AFB">
            <w:pPr>
              <w:numPr>
                <w:ilvl w:val="0"/>
                <w:numId w:val="3"/>
              </w:numPr>
              <w:spacing w:after="0" w:line="240" w:lineRule="auto"/>
              <w:jc w:val="center"/>
              <w:rPr>
                <w:rFonts w:hint="eastAsia" w:ascii="宋体" w:hAnsi="宋体" w:eastAsia="宋体" w:cs="Times New Roman"/>
                <w:sz w:val="24"/>
                <w14:ligatures w14:val="none"/>
              </w:rPr>
            </w:pPr>
          </w:p>
        </w:tc>
        <w:tc>
          <w:tcPr>
            <w:tcW w:w="1322" w:type="dxa"/>
            <w:vMerge w:val="continue"/>
            <w:tcBorders>
              <w:left w:val="single" w:color="auto" w:sz="4" w:space="0"/>
              <w:right w:val="single" w:color="auto" w:sz="4" w:space="0"/>
            </w:tcBorders>
            <w:vAlign w:val="center"/>
          </w:tcPr>
          <w:p w14:paraId="74DE624D">
            <w:pPr>
              <w:widowControl/>
              <w:spacing w:after="0" w:line="240" w:lineRule="auto"/>
              <w:jc w:val="center"/>
              <w:rPr>
                <w:rFonts w:hint="eastAsia" w:ascii="宋体" w:hAnsi="宋体" w:eastAsia="宋体" w:cs="仿宋_GB2312"/>
                <w:sz w:val="24"/>
                <w14:ligatures w14:val="none"/>
              </w:rPr>
            </w:pPr>
          </w:p>
        </w:tc>
        <w:tc>
          <w:tcPr>
            <w:tcW w:w="1322" w:type="dxa"/>
            <w:tcBorders>
              <w:top w:val="single" w:color="auto" w:sz="4" w:space="0"/>
              <w:left w:val="single" w:color="auto" w:sz="4" w:space="0"/>
              <w:right w:val="single" w:color="auto" w:sz="4" w:space="0"/>
            </w:tcBorders>
            <w:vAlign w:val="center"/>
          </w:tcPr>
          <w:p w14:paraId="4C44A1DA">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培训及知识转移</w:t>
            </w:r>
          </w:p>
        </w:tc>
        <w:tc>
          <w:tcPr>
            <w:tcW w:w="6445" w:type="dxa"/>
            <w:tcBorders>
              <w:top w:val="single" w:color="auto" w:sz="4" w:space="0"/>
              <w:left w:val="single" w:color="auto" w:sz="4" w:space="0"/>
              <w:right w:val="single" w:color="auto" w:sz="4" w:space="0"/>
            </w:tcBorders>
            <w:vAlign w:val="center"/>
          </w:tcPr>
          <w:p w14:paraId="10E4F37F">
            <w:pPr>
              <w:widowControl/>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通过必要培训使采购人相关人员，以及采购人指定的人员（包括第三方人员），熟悉系统内容和功能，以及使用权限划分与操作方式，包括系统架构、部署运维、参数配置等内容；提供完备的培训材料；掌握本项目新客户化开发部分功能的二次开发能力</w:t>
            </w:r>
          </w:p>
        </w:tc>
      </w:tr>
    </w:tbl>
    <w:p w14:paraId="3DB5C741">
      <w:pPr>
        <w:keepNext/>
        <w:keepLines/>
        <w:numPr>
          <w:ilvl w:val="0"/>
          <w:numId w:val="4"/>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7" w:name="_Toc23325"/>
      <w:bookmarkStart w:id="8" w:name="_Toc628"/>
      <w:r>
        <w:rPr>
          <w:rFonts w:hint="eastAsia" w:ascii="宋体" w:hAnsi="宋体" w:eastAsia="宋体" w:cs="Times New Roman"/>
          <w:b/>
          <w:bCs/>
          <w:sz w:val="24"/>
          <w14:ligatures w14:val="none"/>
        </w:rPr>
        <w:t>业务要求</w:t>
      </w:r>
      <w:bookmarkEnd w:id="7"/>
    </w:p>
    <w:p w14:paraId="7DBFDB8F">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color w:val="000000"/>
          <w:sz w:val="24"/>
          <w14:ligatures w14:val="none"/>
        </w:rPr>
        <w:t>在两轮次的模拟仿真验证过程中提供必要的技术支持。如有涉及验收新增需求提出，按业务需求书内容实现相关系统功能。</w:t>
      </w:r>
    </w:p>
    <w:p w14:paraId="0DBC0DA9">
      <w:pPr>
        <w:keepNext/>
        <w:keepLines/>
        <w:numPr>
          <w:ilvl w:val="0"/>
          <w:numId w:val="4"/>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9" w:name="_Toc5873"/>
      <w:r>
        <w:rPr>
          <w:rFonts w:hint="eastAsia" w:ascii="宋体" w:hAnsi="宋体" w:eastAsia="宋体" w:cs="Times New Roman"/>
          <w:b/>
          <w:bCs/>
          <w:sz w:val="24"/>
          <w14:ligatures w14:val="none"/>
        </w:rPr>
        <w:t>技术要求</w:t>
      </w:r>
      <w:bookmarkEnd w:id="9"/>
    </w:p>
    <w:p w14:paraId="13BCF660">
      <w:pPr>
        <w:numPr>
          <w:ilvl w:val="0"/>
          <w:numId w:val="5"/>
        </w:num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模拟仿真验证。要求在完成环境搭建和版本部署的基础上，完成数据准备和案例执行，及时定位、分析、解答验证过程中发现的问题，确保验证流程顺畅，案例执行充分，数据完整准确，系统运行稳定。</w:t>
      </w:r>
    </w:p>
    <w:p w14:paraId="27B5DBAB">
      <w:pPr>
        <w:numPr>
          <w:ilvl w:val="0"/>
          <w:numId w:val="5"/>
        </w:num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新增需求实施。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14:paraId="79FB309A">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0" w:name="_Toc22989"/>
      <w:r>
        <w:rPr>
          <w:rFonts w:hint="eastAsia" w:ascii="宋体" w:hAnsi="宋体" w:eastAsia="宋体" w:cs="Times New Roman"/>
          <w:b/>
          <w:bCs/>
          <w:sz w:val="24"/>
          <w14:ligatures w14:val="none"/>
        </w:rPr>
        <w:t>五</w:t>
      </w:r>
      <w:r>
        <w:rPr>
          <w:rFonts w:ascii="宋体" w:hAnsi="宋体" w:eastAsia="宋体" w:cs="Times New Roman"/>
          <w:b/>
          <w:bCs/>
          <w:sz w:val="24"/>
          <w14:ligatures w14:val="none"/>
        </w:rPr>
        <w:t>、服务要求</w:t>
      </w:r>
      <w:bookmarkEnd w:id="8"/>
      <w:bookmarkEnd w:id="10"/>
    </w:p>
    <w:p w14:paraId="2A6997D9">
      <w:pPr>
        <w:adjustRightInd w:val="0"/>
        <w:spacing w:after="0" w:line="360" w:lineRule="auto"/>
        <w:ind w:firstLine="482" w:firstLineChars="200"/>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（一）服务要求</w:t>
      </w:r>
    </w:p>
    <w:p w14:paraId="233BA436">
      <w:pPr>
        <w:spacing w:after="0" w:line="360" w:lineRule="auto"/>
        <w:ind w:firstLine="480" w:firstLineChars="200"/>
        <w:jc w:val="both"/>
        <w:rPr>
          <w:rFonts w:hint="eastAsia" w:ascii="宋体" w:hAnsi="宋体" w:eastAsia="宋体" w:cs="仿宋_GB2312"/>
          <w:sz w:val="24"/>
          <w14:ligatures w14:val="none"/>
        </w:rPr>
      </w:pPr>
      <w:bookmarkStart w:id="11" w:name="_Toc36545096"/>
      <w:r>
        <w:rPr>
          <w:rFonts w:hint="eastAsia" w:ascii="宋体" w:hAnsi="宋体" w:eastAsia="宋体" w:cs="仿宋_GB2312"/>
          <w:sz w:val="24"/>
          <w14:ligatures w14:val="none"/>
        </w:rPr>
        <w:t>1.总体要求</w:t>
      </w:r>
    </w:p>
    <w:p w14:paraId="06AD9F85">
      <w:pPr>
        <w:spacing w:after="0" w:line="360" w:lineRule="auto"/>
        <w:ind w:firstLine="480" w:firstLineChars="200"/>
        <w:jc w:val="both"/>
        <w:rPr>
          <w:rFonts w:hint="eastAsia" w:ascii="宋体" w:hAnsi="宋体" w:eastAsia="宋体" w:cs="仿宋_GB2312"/>
          <w:sz w:val="24"/>
          <w14:ligatures w14:val="none"/>
        </w:rPr>
      </w:pPr>
      <w:r>
        <w:rPr>
          <w:rFonts w:ascii="宋体" w:hAnsi="宋体" w:eastAsia="宋体" w:cs="Times New Roman"/>
          <w:sz w:val="24"/>
          <w14:ligatures w14:val="none"/>
        </w:rPr>
        <w:t>为项目配备具有相关资质、技能和经验的技术服务人员，提供所需的信息技术服务。</w:t>
      </w:r>
      <w:r>
        <w:rPr>
          <w:rFonts w:hint="eastAsia" w:ascii="宋体" w:hAnsi="宋体" w:eastAsia="宋体" w:cs="仿宋_GB2312"/>
          <w:sz w:val="24"/>
          <w14:ligatures w14:val="none"/>
        </w:rPr>
        <w:t>在人员供给方面，应高效及时提供满足采购人要求的高质量人力资源，并且公司应该具备此类人力资源的储备，保证满足本项目业务需求的服务质量及时间要求。在人员稳定性方面，应有效保障服务队伍的稳定性，以确保服务质量。在人员培训方面，应定期对服务人员进行内部培训，以使人员不断补充提高服务技能。</w:t>
      </w:r>
    </w:p>
    <w:p w14:paraId="18EDCAE5">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如需提供需求实施服务，供应商应向采购人提供客户化软件及项目涉及的已有系统中客户化部分的目标程序及全部源代码，以及为实现项目需求引入的产品软件的目标程序及全部源代码。保证能够满足项目实施全生命周期中对开发、测试的要求，并支持通过开发实现对未来业务和技术功能的扩展。</w:t>
      </w:r>
    </w:p>
    <w:bookmarkEnd w:id="11"/>
    <w:p w14:paraId="77072B1D">
      <w:pPr>
        <w:widowControl/>
        <w:spacing w:after="0" w:line="360" w:lineRule="auto"/>
        <w:ind w:firstLine="480" w:firstLineChars="200"/>
        <w:rPr>
          <w:rFonts w:hint="eastAsia" w:ascii="宋体" w:hAnsi="宋体" w:eastAsia="宋体" w:cs="Times New Roman"/>
          <w:sz w:val="24"/>
          <w14:ligatures w14:val="none"/>
        </w:rPr>
      </w:pPr>
      <w:r>
        <w:rPr>
          <w:rFonts w:ascii="宋体" w:hAnsi="宋体" w:eastAsia="宋体" w:cs="Times New Roman"/>
          <w:sz w:val="24"/>
          <w14:ligatures w14:val="none"/>
        </w:rPr>
        <w:t>供应商通过电话、电子邮件、传真等</w:t>
      </w:r>
      <w:r>
        <w:rPr>
          <w:rFonts w:hint="eastAsia" w:ascii="宋体" w:hAnsi="宋体" w:eastAsia="宋体" w:cs="Times New Roman"/>
          <w:sz w:val="24"/>
          <w14:ligatures w14:val="none"/>
        </w:rPr>
        <w:t>可能必要</w:t>
      </w:r>
      <w:r>
        <w:rPr>
          <w:rFonts w:ascii="宋体" w:hAnsi="宋体" w:eastAsia="宋体" w:cs="Times New Roman"/>
          <w:sz w:val="24"/>
          <w14:ligatures w14:val="none"/>
        </w:rPr>
        <w:t>方式向</w:t>
      </w:r>
      <w:r>
        <w:rPr>
          <w:rFonts w:hint="eastAsia" w:ascii="宋体" w:hAnsi="宋体" w:eastAsia="宋体" w:cs="Times New Roman"/>
          <w:sz w:val="24"/>
          <w14:ligatures w14:val="none"/>
        </w:rPr>
        <w:t>采购人</w:t>
      </w:r>
      <w:r>
        <w:rPr>
          <w:rFonts w:ascii="宋体" w:hAnsi="宋体" w:eastAsia="宋体" w:cs="Times New Roman"/>
          <w:sz w:val="24"/>
          <w14:ligatures w14:val="none"/>
        </w:rPr>
        <w:t>提供远程技术支持，</w:t>
      </w:r>
      <w:r>
        <w:rPr>
          <w:rFonts w:hint="eastAsia" w:ascii="宋体" w:hAnsi="宋体" w:eastAsia="宋体" w:cs="Times New Roman"/>
          <w:sz w:val="24"/>
          <w14:ligatures w14:val="none"/>
        </w:rPr>
        <w:t>及时</w:t>
      </w:r>
      <w:r>
        <w:rPr>
          <w:rFonts w:ascii="宋体" w:hAnsi="宋体" w:eastAsia="宋体" w:cs="Times New Roman"/>
          <w:sz w:val="24"/>
          <w14:ligatures w14:val="none"/>
        </w:rPr>
        <w:t>响应</w:t>
      </w:r>
      <w:r>
        <w:rPr>
          <w:rFonts w:hint="eastAsia" w:ascii="宋体" w:hAnsi="宋体" w:eastAsia="宋体" w:cs="Times New Roman"/>
          <w:sz w:val="24"/>
          <w14:ligatures w14:val="none"/>
        </w:rPr>
        <w:t>采购人</w:t>
      </w:r>
      <w:r>
        <w:rPr>
          <w:rFonts w:ascii="宋体" w:hAnsi="宋体" w:eastAsia="宋体" w:cs="Times New Roman"/>
          <w:sz w:val="24"/>
          <w14:ligatures w14:val="none"/>
        </w:rPr>
        <w:t>服务请求</w:t>
      </w:r>
      <w:r>
        <w:rPr>
          <w:rFonts w:hint="eastAsia" w:ascii="宋体" w:hAnsi="宋体" w:eastAsia="宋体" w:cs="Times New Roman"/>
          <w:sz w:val="24"/>
          <w14:ligatures w14:val="none"/>
        </w:rPr>
        <w:t>，</w:t>
      </w:r>
      <w:r>
        <w:rPr>
          <w:rFonts w:ascii="宋体" w:hAnsi="宋体" w:eastAsia="宋体" w:cs="Times New Roman"/>
          <w:sz w:val="24"/>
          <w14:ligatures w14:val="none"/>
        </w:rPr>
        <w:t>必要时协商提供人员现场服务支持</w:t>
      </w:r>
      <w:r>
        <w:rPr>
          <w:rFonts w:hint="eastAsia" w:ascii="宋体" w:hAnsi="宋体" w:eastAsia="宋体" w:cs="Times New Roman"/>
          <w:sz w:val="24"/>
          <w14:ligatures w14:val="none"/>
        </w:rPr>
        <w:t>。</w:t>
      </w:r>
    </w:p>
    <w:p w14:paraId="21D48163">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2.服务指标</w:t>
      </w:r>
    </w:p>
    <w:p w14:paraId="29CDB992">
      <w:pPr>
        <w:adjustRightInd w:val="0"/>
        <w:spacing w:after="0" w:line="360" w:lineRule="auto"/>
        <w:ind w:firstLine="480" w:firstLineChars="200"/>
        <w:rPr>
          <w:rFonts w:hint="eastAsia" w:ascii="宋体" w:hAnsi="宋体" w:eastAsia="宋体" w:cs="Times New Roman"/>
          <w:sz w:val="24"/>
          <w14:ligatures w14:val="none"/>
        </w:rPr>
      </w:pPr>
      <w:r>
        <w:rPr>
          <w:rFonts w:hint="eastAsia" w:ascii="宋体" w:hAnsi="宋体" w:eastAsia="宋体" w:cs="Times New Roman"/>
          <w:sz w:val="24"/>
          <w14:ligatures w14:val="none"/>
        </w:rPr>
        <w:t>服务内容及标准如下：</w:t>
      </w:r>
    </w:p>
    <w:tbl>
      <w:tblPr>
        <w:tblStyle w:val="2"/>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659"/>
      </w:tblGrid>
      <w:tr w14:paraId="245E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tcPr>
          <w:p w14:paraId="1CE00411">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332" w:type="dxa"/>
          </w:tcPr>
          <w:p w14:paraId="1CFC70DA">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服务要求项目</w:t>
            </w:r>
          </w:p>
        </w:tc>
        <w:tc>
          <w:tcPr>
            <w:tcW w:w="6659" w:type="dxa"/>
            <w:vAlign w:val="center"/>
          </w:tcPr>
          <w:p w14:paraId="07E37E7C">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服务要求标准</w:t>
            </w:r>
          </w:p>
        </w:tc>
      </w:tr>
      <w:tr w14:paraId="795A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178C2129">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1</w:t>
            </w:r>
          </w:p>
        </w:tc>
        <w:tc>
          <w:tcPr>
            <w:tcW w:w="1332" w:type="dxa"/>
            <w:vAlign w:val="center"/>
          </w:tcPr>
          <w:p w14:paraId="4EA46A9F">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模拟仿真验证支持服务要求</w:t>
            </w:r>
          </w:p>
        </w:tc>
        <w:tc>
          <w:tcPr>
            <w:tcW w:w="6659" w:type="dxa"/>
          </w:tcPr>
          <w:p w14:paraId="2C29E1B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供应商搭建模拟仿真验证</w:t>
            </w:r>
            <w:r>
              <w:rPr>
                <w:rFonts w:ascii="宋体" w:hAnsi="宋体" w:eastAsia="宋体" w:cs="仿宋_GB2312"/>
                <w:sz w:val="24"/>
                <w14:ligatures w14:val="none"/>
              </w:rPr>
              <w:t>环境需</w:t>
            </w:r>
            <w:r>
              <w:rPr>
                <w:rFonts w:hint="eastAsia" w:ascii="宋体" w:hAnsi="宋体" w:eastAsia="宋体" w:cs="仿宋_GB2312"/>
                <w:sz w:val="24"/>
                <w14:ligatures w14:val="none"/>
              </w:rPr>
              <w:t>遵循采购人技术栈且满足自由贸易账户系统模拟仿真验证的要求，确保执行过程的稳定性；版本部署范围准确且完整，</w:t>
            </w:r>
            <w:r>
              <w:rPr>
                <w:rFonts w:ascii="宋体" w:hAnsi="宋体" w:eastAsia="宋体" w:cs="仿宋_GB2312"/>
                <w:sz w:val="24"/>
                <w14:ligatures w14:val="none"/>
              </w:rPr>
              <w:t>若版本出现兼容性问题或功能缺陷，需</w:t>
            </w:r>
            <w:r>
              <w:rPr>
                <w:rFonts w:hint="eastAsia" w:ascii="宋体" w:hAnsi="宋体" w:eastAsia="宋体" w:cs="仿宋_GB2312"/>
                <w:sz w:val="24"/>
                <w14:ligatures w14:val="none"/>
              </w:rPr>
              <w:t>快速</w:t>
            </w:r>
            <w:r>
              <w:rPr>
                <w:rFonts w:ascii="宋体" w:hAnsi="宋体" w:eastAsia="宋体" w:cs="仿宋_GB2312"/>
                <w:sz w:val="24"/>
                <w14:ligatures w14:val="none"/>
              </w:rPr>
              <w:t>恢复</w:t>
            </w:r>
            <w:r>
              <w:rPr>
                <w:rFonts w:hint="eastAsia" w:ascii="宋体" w:hAnsi="宋体" w:eastAsia="宋体" w:cs="仿宋_GB2312"/>
                <w:sz w:val="24"/>
                <w14:ligatures w14:val="none"/>
              </w:rPr>
              <w:t>环境</w:t>
            </w:r>
            <w:r>
              <w:rPr>
                <w:rFonts w:ascii="宋体" w:hAnsi="宋体" w:eastAsia="宋体" w:cs="仿宋_GB2312"/>
                <w:sz w:val="24"/>
                <w14:ligatures w14:val="none"/>
              </w:rPr>
              <w:t>可用状态</w:t>
            </w:r>
            <w:r>
              <w:rPr>
                <w:rFonts w:hint="eastAsia" w:ascii="宋体" w:hAnsi="宋体" w:eastAsia="宋体" w:cs="仿宋_GB2312"/>
                <w:sz w:val="24"/>
                <w14:ligatures w14:val="none"/>
              </w:rPr>
              <w:t>。数据准备需满足模拟自贸区真实业务要求的同时，满足口行数据安全和合规要求；</w:t>
            </w:r>
            <w:r>
              <w:rPr>
                <w:rFonts w:ascii="宋体" w:hAnsi="宋体" w:eastAsia="宋体" w:cs="仿宋_GB2312"/>
                <w:sz w:val="24"/>
                <w14:ligatures w14:val="none"/>
              </w:rPr>
              <w:t>数据量需满足大流量</w:t>
            </w:r>
            <w:r>
              <w:rPr>
                <w:rFonts w:hint="eastAsia" w:ascii="宋体" w:hAnsi="宋体" w:eastAsia="宋体" w:cs="仿宋_GB2312"/>
                <w:sz w:val="24"/>
                <w14:ligatures w14:val="none"/>
              </w:rPr>
              <w:t>验证</w:t>
            </w:r>
            <w:r>
              <w:rPr>
                <w:rFonts w:ascii="宋体" w:hAnsi="宋体" w:eastAsia="宋体" w:cs="仿宋_GB2312"/>
                <w:sz w:val="24"/>
                <w14:ligatures w14:val="none"/>
              </w:rPr>
              <w:t>需求</w:t>
            </w:r>
            <w:r>
              <w:rPr>
                <w:rFonts w:hint="eastAsia" w:ascii="宋体" w:hAnsi="宋体" w:eastAsia="宋体" w:cs="仿宋_GB2312"/>
                <w:sz w:val="24"/>
                <w14:ligatures w14:val="none"/>
              </w:rPr>
              <w:t>；参数配置需确保全面性、规范性及一致性；</w:t>
            </w:r>
            <w:r>
              <w:rPr>
                <w:rFonts w:ascii="宋体" w:hAnsi="宋体" w:eastAsia="宋体" w:cs="仿宋_GB2312"/>
                <w:sz w:val="24"/>
                <w14:ligatures w14:val="none"/>
              </w:rPr>
              <w:t>案例执行过程规范可追溯</w:t>
            </w:r>
            <w:r>
              <w:rPr>
                <w:rFonts w:hint="eastAsia" w:ascii="宋体" w:hAnsi="宋体" w:eastAsia="宋体" w:cs="仿宋_GB2312"/>
                <w:sz w:val="24"/>
                <w14:ligatures w14:val="none"/>
              </w:rPr>
              <w:t>，需对</w:t>
            </w:r>
            <w:r>
              <w:rPr>
                <w:rFonts w:ascii="宋体" w:hAnsi="宋体" w:eastAsia="宋体" w:cs="仿宋_GB2312"/>
                <w:sz w:val="24"/>
                <w14:ligatures w14:val="none"/>
              </w:rPr>
              <w:t>问题</w:t>
            </w:r>
            <w:r>
              <w:rPr>
                <w:rFonts w:hint="eastAsia" w:ascii="宋体" w:hAnsi="宋体" w:eastAsia="宋体" w:cs="仿宋_GB2312"/>
                <w:sz w:val="24"/>
                <w14:ligatures w14:val="none"/>
              </w:rPr>
              <w:t>进行</w:t>
            </w:r>
            <w:r>
              <w:rPr>
                <w:rFonts w:ascii="宋体" w:hAnsi="宋体" w:eastAsia="宋体" w:cs="仿宋_GB2312"/>
                <w:sz w:val="24"/>
                <w14:ligatures w14:val="none"/>
              </w:rPr>
              <w:t>闭环</w:t>
            </w:r>
            <w:r>
              <w:rPr>
                <w:rFonts w:hint="eastAsia" w:ascii="宋体" w:hAnsi="宋体" w:eastAsia="宋体" w:cs="仿宋_GB2312"/>
                <w:sz w:val="24"/>
                <w14:ligatures w14:val="none"/>
              </w:rPr>
              <w:t>管理，确保问题及时被定位分析与解答。</w:t>
            </w:r>
          </w:p>
        </w:tc>
      </w:tr>
      <w:tr w14:paraId="60BA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5EE5B9A0">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2</w:t>
            </w:r>
          </w:p>
        </w:tc>
        <w:tc>
          <w:tcPr>
            <w:tcW w:w="1332" w:type="dxa"/>
            <w:vAlign w:val="center"/>
          </w:tcPr>
          <w:p w14:paraId="7F14E8D7">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产品要求</w:t>
            </w:r>
          </w:p>
        </w:tc>
        <w:tc>
          <w:tcPr>
            <w:tcW w:w="6659" w:type="dxa"/>
          </w:tcPr>
          <w:p w14:paraId="32CC2E50">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要求供应商必须对本项目涉及的产品拥有完全的知识产权；使用非自身产品的，必须有原厂商对该产品的授权经销商或者有原厂商对本项目的书面授权。（第三方授权有关信息应明确告知采购人，包括被授权产品名称，授权方式，授权期限、授权费等）。向采购人提供客户化软件及核心产品系统中客户化部分的目标程序及全部源代码，以及核心产品软件的目标程序及全部源代码。提供方式由双方协商确定。</w:t>
            </w:r>
          </w:p>
        </w:tc>
      </w:tr>
      <w:tr w14:paraId="1FCD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9" w:type="dxa"/>
            <w:vAlign w:val="center"/>
          </w:tcPr>
          <w:p w14:paraId="30FAB202">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3</w:t>
            </w:r>
          </w:p>
        </w:tc>
        <w:tc>
          <w:tcPr>
            <w:tcW w:w="1332" w:type="dxa"/>
            <w:vAlign w:val="center"/>
          </w:tcPr>
          <w:p w14:paraId="33CA2C4E">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故障处理</w:t>
            </w:r>
          </w:p>
        </w:tc>
        <w:tc>
          <w:tcPr>
            <w:tcW w:w="6659" w:type="dxa"/>
          </w:tcPr>
          <w:p w14:paraId="237FCD4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供应商通过标准化的操作流程进行软件的故障诊断和排除；配合其他条线进行故障处理。</w:t>
            </w:r>
          </w:p>
          <w:p w14:paraId="2E8EC20F">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响应时限：（&lt;15）分钟</w:t>
            </w:r>
          </w:p>
          <w:p w14:paraId="3CDA2C0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到达现场时限：（&lt;2）小时</w:t>
            </w:r>
          </w:p>
          <w:p w14:paraId="51E6206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解决问题时限：（&lt;4）小时</w:t>
            </w:r>
          </w:p>
        </w:tc>
      </w:tr>
      <w:tr w14:paraId="011B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vAlign w:val="center"/>
          </w:tcPr>
          <w:p w14:paraId="6BC8B0BA">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4</w:t>
            </w:r>
          </w:p>
        </w:tc>
        <w:tc>
          <w:tcPr>
            <w:tcW w:w="1332" w:type="dxa"/>
            <w:vAlign w:val="center"/>
          </w:tcPr>
          <w:p w14:paraId="6D48CED0">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总体要求</w:t>
            </w:r>
          </w:p>
        </w:tc>
        <w:tc>
          <w:tcPr>
            <w:tcW w:w="6659" w:type="dxa"/>
          </w:tcPr>
          <w:p w14:paraId="2247D23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针对自由贸易账户申办验收要求，描述完整、可行的验证方案和实施方案，包括但不限于项目管理、模拟仿真验证、需求实施等。</w:t>
            </w:r>
          </w:p>
          <w:p w14:paraId="4E748CE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需求实施应完成需求分析、开发测试及投产运维等工作，并阐述系统的技术方案、实施方案、测试方案、投产方案，根据需要附相应模板。对于其中进出口银行有模板要求的交付件，应使用要求的模版进行编写。</w:t>
            </w:r>
          </w:p>
          <w:p w14:paraId="0E5D6340">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阐述项目实施的组织架构，并描述实施预期的时间进度表，提供具有明确里程碑的项目实施计划。</w:t>
            </w:r>
          </w:p>
          <w:p w14:paraId="12AF31A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要求提供模拟仿真验证计划，并完成验证环境搭建、版本部署、数据准备、参数配置等工作，在验证过程中提供问题定位分析以及必要的技术支持。</w:t>
            </w:r>
          </w:p>
          <w:p w14:paraId="02F1D1E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厂商在本项目实施过程中，须服从进出口银行项目管理机构的管理。</w:t>
            </w:r>
          </w:p>
          <w:p w14:paraId="278818C1">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厂商提供本项目中所有交付物清单，包括但不限于项目文档、技术文档（包括平台/系统相关的接口和集成技术规范、设计规范等规范类文件，与整体技术方案一并纳入评审范围。如需外部专家参加评审的，供应商负责外部专家评审费用）、用户手册和系统管理手册。</w:t>
            </w:r>
          </w:p>
          <w:p w14:paraId="550313D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阐述系统故障应急预案，确保系统在突发状况后能够及时发现，补救，恢复。</w:t>
            </w:r>
          </w:p>
          <w:p w14:paraId="2890F79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如有涉及第三方产品及服务，阐述相关产品及服务内容，报价及后期维护方式和费用。</w:t>
            </w:r>
          </w:p>
          <w:p w14:paraId="6A746261">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在技术方案评审阶段，提供软件物料清单，如涉及开源软件引入和使用的，应按照采购人要求开展引入评审和使用备案后方可使用。提供后续对开源软件的维护及升级支持，纳入维保范围。</w:t>
            </w:r>
          </w:p>
          <w:p w14:paraId="05374CA0">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14:paraId="6F7B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20B3632D">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5</w:t>
            </w:r>
          </w:p>
        </w:tc>
        <w:tc>
          <w:tcPr>
            <w:tcW w:w="1332" w:type="dxa"/>
            <w:vAlign w:val="center"/>
          </w:tcPr>
          <w:p w14:paraId="06DC1733">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项目实施要求</w:t>
            </w:r>
          </w:p>
        </w:tc>
        <w:tc>
          <w:tcPr>
            <w:tcW w:w="6659" w:type="dxa"/>
          </w:tcPr>
          <w:p w14:paraId="3FA4BD4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以下列出了本项目实施过程中重要的实施任务，供应商应承诺完成所有实施任务，并遵守其中相关约定。相关要求参照项目工作说明书。</w:t>
            </w:r>
          </w:p>
          <w:p w14:paraId="4738613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一、项目管理。</w:t>
            </w:r>
          </w:p>
          <w:p w14:paraId="0A88539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负责制定项目计划，并按照进出口银行的要求进行必要的调整。监督和控制项目进度。</w:t>
            </w:r>
          </w:p>
          <w:p w14:paraId="097BFE4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负责管理安排项目资源。</w:t>
            </w:r>
          </w:p>
          <w:p w14:paraId="486017F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负责配合管理项目的各项任务执行、人力资源、相互工作配合与交付承诺。</w:t>
            </w:r>
          </w:p>
          <w:p w14:paraId="3F3C857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负责配合管理项目范围和需求变更，并协调变更要求的签署。</w:t>
            </w:r>
          </w:p>
          <w:p w14:paraId="0695B28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负责实施项目配置和交付管理以及项目质量管理。</w:t>
            </w:r>
          </w:p>
          <w:p w14:paraId="5C734E3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负责项目问题管理和项目风险管理。</w:t>
            </w:r>
          </w:p>
          <w:p w14:paraId="7E4A787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负责与进出口银行进行沟通并按照要求进行工作报告。</w:t>
            </w:r>
          </w:p>
          <w:p w14:paraId="0F7B4D4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二、模拟仿真验证。</w:t>
            </w:r>
          </w:p>
          <w:p w14:paraId="057B0A0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负责环境搭建、版本部署、数据准备、参数配置和系统联通。</w:t>
            </w:r>
          </w:p>
          <w:p w14:paraId="50AC2A0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协助进出口银行制定验证方案和计划。</w:t>
            </w:r>
          </w:p>
          <w:p w14:paraId="1F3B42D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提供案例执行过程中的技术支持。</w:t>
            </w:r>
          </w:p>
          <w:p w14:paraId="3C67BE6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负责验证报告的编制。</w:t>
            </w:r>
          </w:p>
          <w:p w14:paraId="45E7D2D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三、新增需求实施</w:t>
            </w:r>
          </w:p>
          <w:p w14:paraId="12F4850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（一）业务功能分析和设计。</w:t>
            </w:r>
          </w:p>
          <w:p w14:paraId="6BC610C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负责对本项目需求梳理细化。</w:t>
            </w:r>
          </w:p>
          <w:p w14:paraId="208B6F7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负责业务需求差异分析和评估。</w:t>
            </w:r>
          </w:p>
          <w:p w14:paraId="1148A97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负责业务功能分析和制定。</w:t>
            </w:r>
          </w:p>
          <w:p w14:paraId="46F4BF9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负责编写需求规格说明书。</w:t>
            </w:r>
          </w:p>
          <w:p w14:paraId="7D0BAFD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负责提出与周边系统的集成解决方案。</w:t>
            </w:r>
          </w:p>
          <w:p w14:paraId="5AAAB4B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负责系统配置设计、界面设计、扩展功能开发设计、数据转换设计等。</w:t>
            </w:r>
          </w:p>
          <w:p w14:paraId="28485B3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（二）技术架构分析和设计。</w:t>
            </w:r>
          </w:p>
          <w:p w14:paraId="296F10F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负责制定技术架构方案。</w:t>
            </w:r>
          </w:p>
          <w:p w14:paraId="037041C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负责制定运维管理方案。</w:t>
            </w:r>
          </w:p>
          <w:p w14:paraId="4E0499A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负责分析接口定义并提出技术实现方案。</w:t>
            </w:r>
          </w:p>
          <w:p w14:paraId="645FD82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负责评估与进出口银行总体技术架构的差异，并编写技术规格说明书。</w:t>
            </w:r>
          </w:p>
          <w:p w14:paraId="1BD6A29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负责提出开发与测试环境的构建方案。</w:t>
            </w:r>
          </w:p>
          <w:p w14:paraId="0E0B332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负责提出生产环境的构建方案。</w:t>
            </w:r>
          </w:p>
          <w:p w14:paraId="1E93EE3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负责编写技术设计说明书。</w:t>
            </w:r>
          </w:p>
          <w:p w14:paraId="35BA99C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（三）业务功能构建。</w:t>
            </w:r>
          </w:p>
          <w:p w14:paraId="12EB378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负责提出参数配置模版及配置方案。</w:t>
            </w:r>
          </w:p>
          <w:p w14:paraId="1608F3D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负责进行客户化部分的详细设计，并编写详细设计说明书。</w:t>
            </w:r>
          </w:p>
          <w:p w14:paraId="6B91FCA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负责接口开发、扩展功能开发、数据转换开发。</w:t>
            </w:r>
          </w:p>
          <w:p w14:paraId="50F239C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负责计划、准备与执行单元测试。</w:t>
            </w:r>
          </w:p>
          <w:p w14:paraId="779F723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负责确认单元测试结果并提交单元测试报告。</w:t>
            </w:r>
          </w:p>
          <w:p w14:paraId="7158734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（四）技术架构构建。</w:t>
            </w:r>
          </w:p>
          <w:p w14:paraId="3976F04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负责测试环境的构建与确认。</w:t>
            </w:r>
          </w:p>
          <w:p w14:paraId="7E1EE8F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负责就测试环境管理流程和制度与进出口银行达成一致。</w:t>
            </w:r>
          </w:p>
          <w:p w14:paraId="6DD4362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负责进行测试环境下的应用系统的安装和配置。</w:t>
            </w:r>
          </w:p>
          <w:p w14:paraId="0C7FE85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（五）产品测试和性能测试。</w:t>
            </w:r>
          </w:p>
          <w:p w14:paraId="40703B8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负责产品测试的计划、准备和执行。</w:t>
            </w:r>
          </w:p>
          <w:p w14:paraId="00B57C7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负责系统修补，并完成产品测试报告。</w:t>
            </w:r>
          </w:p>
          <w:p w14:paraId="1C9AA37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负责性能测试的计划、准备和执行。</w:t>
            </w:r>
          </w:p>
          <w:p w14:paraId="185D538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负责系统调优和进一步的性能测试，并负责完成性能测试报告。</w:t>
            </w:r>
          </w:p>
          <w:p w14:paraId="5586FAE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（六）系统集成测试。</w:t>
            </w:r>
          </w:p>
          <w:p w14:paraId="331F29A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负责提出系统集成测试计划和方案。</w:t>
            </w:r>
          </w:p>
          <w:p w14:paraId="3AAD191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负责完成系统集成测试案例、测试脚本以及相关的测试数据。</w:t>
            </w:r>
          </w:p>
          <w:p w14:paraId="3CF6872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负责在进出口银行统一管理下执行系统集成测试，进行系统修补和必要的回归测试。</w:t>
            </w:r>
          </w:p>
          <w:p w14:paraId="0025B57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负责完成相应的系统集成测试报告。</w:t>
            </w:r>
          </w:p>
          <w:p w14:paraId="5E99FAB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（七）用户验收测试。</w:t>
            </w:r>
          </w:p>
          <w:p w14:paraId="0CB0D00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协助提出用户验收测试计划和方案。</w:t>
            </w:r>
          </w:p>
          <w:p w14:paraId="4E33EEB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协助准备用户验收测试案例、测试脚本和数据。</w:t>
            </w:r>
          </w:p>
          <w:p w14:paraId="15CE417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协助执行用户验收测试。</w:t>
            </w:r>
          </w:p>
          <w:p w14:paraId="2C3F506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负责系统修补。</w:t>
            </w:r>
          </w:p>
          <w:p w14:paraId="35AE68E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协助进行回归测试、协助完成用户验收测试报告。</w:t>
            </w:r>
          </w:p>
          <w:p w14:paraId="4A839BC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（八）投产和推广（包括投产、试运行、正式运行、最终验收）。</w:t>
            </w:r>
          </w:p>
          <w:p w14:paraId="0D381F9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根据需要负责制定上线演练计划和方案。</w:t>
            </w:r>
          </w:p>
          <w:p w14:paraId="6427D8C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负责制定投产演练方案、运维测试方案，负责运维培训，配合行方完成投产演练和运维测试工作。</w:t>
            </w:r>
          </w:p>
          <w:p w14:paraId="1FC1C520">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在进出口银行统一管理下执行上线演练。</w:t>
            </w:r>
          </w:p>
          <w:p w14:paraId="752341B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负责制定投产上线范围、制定系统（数据、业务）投产上线计划。</w:t>
            </w:r>
          </w:p>
          <w:p w14:paraId="1A3C111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负责制定投产上线操作方案、流程和策略，并制定应急和恢复方案。</w:t>
            </w:r>
          </w:p>
          <w:p w14:paraId="1942FA1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负责制定试运行方案、流程和策略，并制定应急和恢复方案。</w:t>
            </w:r>
          </w:p>
          <w:p w14:paraId="3D655B9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协助进出口银行进行推广文档编制。</w:t>
            </w:r>
          </w:p>
          <w:p w14:paraId="3896D6A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协助进出口银行完成投产上线。</w:t>
            </w:r>
          </w:p>
          <w:p w14:paraId="0300A64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支持系统试运行工作。</w:t>
            </w:r>
          </w:p>
          <w:p w14:paraId="734E4B16">
            <w:pPr>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协助进出口银行完成系统最终验收。</w:t>
            </w:r>
          </w:p>
        </w:tc>
      </w:tr>
      <w:tr w14:paraId="5067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23A54A4">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6</w:t>
            </w:r>
          </w:p>
        </w:tc>
        <w:tc>
          <w:tcPr>
            <w:tcW w:w="1332" w:type="dxa"/>
            <w:vAlign w:val="center"/>
          </w:tcPr>
          <w:p w14:paraId="1675464E">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培训及知识转移要求</w:t>
            </w:r>
          </w:p>
        </w:tc>
        <w:tc>
          <w:tcPr>
            <w:tcW w:w="6659" w:type="dxa"/>
          </w:tcPr>
          <w:p w14:paraId="750CD38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（一）培训对象：培训对象包括进出口银行的开发人员、系统运行维护管理人员，以及其他相关人员。</w:t>
            </w:r>
          </w:p>
          <w:p w14:paraId="49645C1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（二）培训目标：通过培训，应使上述人员掌握系统提供的内容和功能，以及使用权限划分与操作方式。</w:t>
            </w:r>
          </w:p>
          <w:p w14:paraId="7E96C464">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三）培训内容：供应商应具有知识和技术转移的意愿，并阐述详细的实际措施，以对项目实施阶段的参与者及项目最终的使用和运维团队进行全面、有效的知识转移。供应商需向进出口银行提供系统在配置、开发、安装、使用、监控和维护等方面的培训。供应商须详细列出各阶段培训的服务清单和培训费用，服务清单包括培训内容、授课方式、培训对象、时间计划安排和培训反馈处理等，对项目实施阶段的参与者及项目最终的使用和运维团队进行全面、有效的知识转移，确保进出口银行形成一支熟悉系统运用和维护的专家队伍。</w:t>
            </w:r>
          </w:p>
          <w:p w14:paraId="1E1D67C7">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（四）培训材料：供应商为所有被培训人员提供完备的文字资料（书面及电子版）和讲义（书面及电子版）等相关用品。</w:t>
            </w:r>
          </w:p>
        </w:tc>
      </w:tr>
    </w:tbl>
    <w:p w14:paraId="6742E84A">
      <w:pPr>
        <w:spacing w:after="0" w:line="360" w:lineRule="auto"/>
        <w:ind w:firstLine="482" w:firstLineChars="200"/>
        <w:jc w:val="both"/>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（二）主要交付物</w:t>
      </w:r>
    </w:p>
    <w:p w14:paraId="1AF658E4">
      <w:pPr>
        <w:numPr>
          <w:ilvl w:val="0"/>
          <w:numId w:val="6"/>
        </w:numPr>
        <w:spacing w:after="0" w:line="360" w:lineRule="auto"/>
        <w:ind w:left="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在项目工作书中明确交付物类型、内容及交付形式，包含但不限于以下内容。</w:t>
      </w:r>
    </w:p>
    <w:p w14:paraId="603111C6">
      <w:pPr>
        <w:numPr>
          <w:ilvl w:val="0"/>
          <w:numId w:val="7"/>
        </w:numPr>
        <w:spacing w:after="0" w:line="360" w:lineRule="auto"/>
        <w:ind w:firstLine="482" w:firstLineChars="200"/>
        <w:jc w:val="both"/>
        <w:rPr>
          <w:rFonts w:hint="eastAsia" w:ascii="宋体" w:hAnsi="宋体" w:eastAsia="宋体" w:cs="宋体"/>
          <w:b/>
          <w:bCs/>
          <w:sz w:val="24"/>
          <w14:ligatures w14:val="none"/>
        </w:rPr>
      </w:pPr>
      <w:r>
        <w:rPr>
          <w:rFonts w:hint="eastAsia" w:ascii="宋体" w:hAnsi="宋体" w:eastAsia="宋体" w:cs="宋体"/>
          <w:b/>
          <w:bCs/>
          <w:sz w:val="24"/>
          <w14:ligatures w14:val="none"/>
        </w:rPr>
        <w:t>模拟仿真验证部分</w:t>
      </w:r>
    </w:p>
    <w:tbl>
      <w:tblPr>
        <w:tblStyle w:val="2"/>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6122"/>
      </w:tblGrid>
      <w:tr w14:paraId="6E21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2" w:type="pct"/>
            <w:shd w:val="clear" w:color="auto" w:fill="BEBEBE"/>
            <w:vAlign w:val="center"/>
          </w:tcPr>
          <w:p w14:paraId="12569A94">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过程域</w:t>
            </w:r>
          </w:p>
        </w:tc>
        <w:tc>
          <w:tcPr>
            <w:tcW w:w="4177" w:type="pct"/>
            <w:shd w:val="clear" w:color="auto" w:fill="BEBEBE"/>
            <w:vAlign w:val="center"/>
          </w:tcPr>
          <w:p w14:paraId="22700C57">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文档</w:t>
            </w:r>
          </w:p>
        </w:tc>
      </w:tr>
      <w:tr w14:paraId="40F0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66CC524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p w14:paraId="11F4AC05">
            <w:pPr>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（模拟仿真验证部分）</w:t>
            </w:r>
          </w:p>
        </w:tc>
        <w:tc>
          <w:tcPr>
            <w:tcW w:w="4177" w:type="pct"/>
            <w:vAlign w:val="center"/>
          </w:tcPr>
          <w:p w14:paraId="112F015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《项目详细实施计划》</w:t>
            </w:r>
          </w:p>
        </w:tc>
      </w:tr>
      <w:tr w14:paraId="2326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2028C404">
            <w:pPr>
              <w:spacing w:after="0" w:line="240" w:lineRule="auto"/>
              <w:jc w:val="both"/>
              <w:rPr>
                <w:rFonts w:hint="eastAsia" w:ascii="宋体" w:hAnsi="宋体" w:eastAsia="宋体" w:cs="仿宋_GB2312"/>
                <w:sz w:val="24"/>
                <w14:ligatures w14:val="none"/>
              </w:rPr>
            </w:pPr>
          </w:p>
        </w:tc>
        <w:tc>
          <w:tcPr>
            <w:tcW w:w="4177" w:type="pct"/>
            <w:vAlign w:val="center"/>
          </w:tcPr>
          <w:p w14:paraId="65CAED3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《项目质量审计报告》</w:t>
            </w:r>
          </w:p>
        </w:tc>
      </w:tr>
      <w:tr w14:paraId="5E7A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3EE40231">
            <w:pPr>
              <w:spacing w:after="0" w:line="240" w:lineRule="auto"/>
              <w:jc w:val="both"/>
              <w:rPr>
                <w:rFonts w:hint="eastAsia" w:ascii="宋体" w:hAnsi="宋体" w:eastAsia="宋体" w:cs="仿宋_GB2312"/>
                <w:sz w:val="24"/>
                <w14:ligatures w14:val="none"/>
              </w:rPr>
            </w:pPr>
          </w:p>
        </w:tc>
        <w:tc>
          <w:tcPr>
            <w:tcW w:w="4177" w:type="pct"/>
            <w:vAlign w:val="center"/>
          </w:tcPr>
          <w:p w14:paraId="2789B2E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《关键人员简历》</w:t>
            </w:r>
            <w:r>
              <w:rPr>
                <w:rFonts w:hint="eastAsia" w:ascii="宋体" w:hAnsi="宋体" w:eastAsia="宋体" w:cs="仿宋_GB2312"/>
                <w:sz w:val="24"/>
                <w14:ligatures w14:val="none"/>
              </w:rPr>
              <w:tab/>
            </w:r>
          </w:p>
        </w:tc>
      </w:tr>
      <w:tr w14:paraId="63C8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09DA4853">
            <w:pPr>
              <w:spacing w:after="0" w:line="240" w:lineRule="auto"/>
              <w:jc w:val="both"/>
              <w:rPr>
                <w:rFonts w:hint="eastAsia" w:ascii="宋体" w:hAnsi="宋体" w:eastAsia="宋体" w:cs="仿宋_GB2312"/>
                <w:sz w:val="24"/>
                <w14:ligatures w14:val="none"/>
              </w:rPr>
            </w:pPr>
          </w:p>
        </w:tc>
        <w:tc>
          <w:tcPr>
            <w:tcW w:w="4177" w:type="pct"/>
            <w:vAlign w:val="center"/>
          </w:tcPr>
          <w:p w14:paraId="772616A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《关键人员人力资源变动报告》</w:t>
            </w:r>
          </w:p>
        </w:tc>
      </w:tr>
      <w:tr w14:paraId="04B0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22" w:type="pct"/>
            <w:vMerge w:val="continue"/>
            <w:vAlign w:val="center"/>
          </w:tcPr>
          <w:p w14:paraId="3228F1D8">
            <w:pPr>
              <w:spacing w:after="0" w:line="240" w:lineRule="auto"/>
              <w:jc w:val="both"/>
              <w:rPr>
                <w:rFonts w:hint="eastAsia" w:ascii="宋体" w:hAnsi="宋体" w:eastAsia="宋体" w:cs="仿宋_GB2312"/>
                <w:sz w:val="24"/>
                <w14:ligatures w14:val="none"/>
              </w:rPr>
            </w:pPr>
          </w:p>
        </w:tc>
        <w:tc>
          <w:tcPr>
            <w:tcW w:w="4177" w:type="pct"/>
            <w:vAlign w:val="center"/>
          </w:tcPr>
          <w:p w14:paraId="75B46A9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项目状态报告</w:t>
            </w:r>
          </w:p>
        </w:tc>
      </w:tr>
      <w:tr w14:paraId="6569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1" w:type="dxa"/>
            <w:vMerge w:val="restart"/>
            <w:vAlign w:val="center"/>
          </w:tcPr>
          <w:p w14:paraId="6AC00C8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w:t>
            </w:r>
          </w:p>
        </w:tc>
        <w:tc>
          <w:tcPr>
            <w:tcW w:w="6510" w:type="dxa"/>
            <w:vAlign w:val="center"/>
          </w:tcPr>
          <w:p w14:paraId="3406C7E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《模拟仿真验证方案》（含环境配置、数据准备范围、部署系统版本清单）</w:t>
            </w:r>
          </w:p>
        </w:tc>
      </w:tr>
      <w:tr w14:paraId="6EF7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1" w:type="dxa"/>
            <w:vMerge w:val="continue"/>
            <w:vAlign w:val="center"/>
          </w:tcPr>
          <w:p w14:paraId="5F219265">
            <w:pPr>
              <w:spacing w:after="0" w:line="240" w:lineRule="auto"/>
              <w:jc w:val="both"/>
              <w:rPr>
                <w:rFonts w:hint="eastAsia" w:ascii="宋体" w:hAnsi="宋体" w:eastAsia="宋体" w:cs="仿宋_GB2312"/>
                <w:sz w:val="24"/>
                <w14:ligatures w14:val="none"/>
              </w:rPr>
            </w:pPr>
          </w:p>
        </w:tc>
        <w:tc>
          <w:tcPr>
            <w:tcW w:w="6510" w:type="dxa"/>
            <w:vAlign w:val="center"/>
          </w:tcPr>
          <w:p w14:paraId="751832E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《模拟仿真验证计划》</w:t>
            </w:r>
          </w:p>
        </w:tc>
      </w:tr>
      <w:tr w14:paraId="68C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1" w:type="dxa"/>
            <w:vMerge w:val="continue"/>
            <w:vAlign w:val="center"/>
          </w:tcPr>
          <w:p w14:paraId="2F7E49C6">
            <w:pPr>
              <w:spacing w:after="0" w:line="240" w:lineRule="auto"/>
              <w:jc w:val="both"/>
              <w:rPr>
                <w:rFonts w:hint="eastAsia" w:ascii="宋体" w:hAnsi="宋体" w:eastAsia="宋体" w:cs="仿宋_GB2312"/>
                <w:sz w:val="24"/>
                <w14:ligatures w14:val="none"/>
              </w:rPr>
            </w:pPr>
          </w:p>
        </w:tc>
        <w:tc>
          <w:tcPr>
            <w:tcW w:w="6510" w:type="dxa"/>
            <w:vAlign w:val="center"/>
          </w:tcPr>
          <w:p w14:paraId="1A5E5F9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《模拟仿真验证报告》（含问题跟踪清单）</w:t>
            </w:r>
          </w:p>
        </w:tc>
      </w:tr>
    </w:tbl>
    <w:p w14:paraId="6299923E">
      <w:pPr>
        <w:numPr>
          <w:ilvl w:val="0"/>
          <w:numId w:val="6"/>
        </w:numPr>
        <w:spacing w:after="0" w:line="360" w:lineRule="auto"/>
        <w:ind w:left="0" w:firstLine="482" w:firstLineChars="200"/>
        <w:jc w:val="both"/>
        <w:rPr>
          <w:rFonts w:hint="eastAsia" w:ascii="宋体" w:hAnsi="宋体" w:eastAsia="宋体" w:cs="宋体"/>
          <w:b/>
          <w:bCs/>
          <w:sz w:val="24"/>
          <w14:ligatures w14:val="none"/>
        </w:rPr>
      </w:pPr>
      <w:r>
        <w:rPr>
          <w:rFonts w:hint="eastAsia" w:ascii="宋体" w:hAnsi="宋体" w:eastAsia="宋体" w:cs="宋体"/>
          <w:b/>
          <w:bCs/>
          <w:sz w:val="24"/>
          <w14:ligatures w14:val="none"/>
        </w:rPr>
        <w:t>（二）新增需求实施部分</w:t>
      </w:r>
    </w:p>
    <w:tbl>
      <w:tblPr>
        <w:tblStyle w:val="2"/>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6122"/>
      </w:tblGrid>
      <w:tr w14:paraId="11F2128E">
        <w:tblPrEx>
          <w:tblCellMar>
            <w:top w:w="0" w:type="dxa"/>
            <w:left w:w="108" w:type="dxa"/>
            <w:bottom w:w="0" w:type="dxa"/>
            <w:right w:w="108" w:type="dxa"/>
          </w:tblCellMar>
        </w:tblPrEx>
        <w:trPr>
          <w:trHeight w:val="397" w:hRule="atLeast"/>
          <w:tblHeader/>
          <w:jc w:val="center"/>
        </w:trPr>
        <w:tc>
          <w:tcPr>
            <w:tcW w:w="822" w:type="pct"/>
            <w:shd w:val="clear" w:color="auto" w:fill="BEBEBE"/>
            <w:vAlign w:val="center"/>
          </w:tcPr>
          <w:p w14:paraId="194C7FFF">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过程域</w:t>
            </w:r>
          </w:p>
        </w:tc>
        <w:tc>
          <w:tcPr>
            <w:tcW w:w="4177" w:type="pct"/>
            <w:shd w:val="clear" w:color="auto" w:fill="BEBEBE"/>
            <w:vAlign w:val="center"/>
          </w:tcPr>
          <w:p w14:paraId="67C652D7">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文档</w:t>
            </w:r>
          </w:p>
        </w:tc>
      </w:tr>
      <w:tr w14:paraId="33E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81" w:type="dxa"/>
            <w:vMerge w:val="restart"/>
            <w:vAlign w:val="center"/>
          </w:tcPr>
          <w:p w14:paraId="766E1DB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p w14:paraId="66C06BDC">
            <w:pPr>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（新增需求实施部分）</w:t>
            </w:r>
          </w:p>
        </w:tc>
        <w:tc>
          <w:tcPr>
            <w:tcW w:w="6510" w:type="dxa"/>
            <w:vAlign w:val="center"/>
          </w:tcPr>
          <w:p w14:paraId="19886AD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《项目详细实施计划》</w:t>
            </w:r>
          </w:p>
        </w:tc>
      </w:tr>
      <w:tr w14:paraId="58CD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vMerge w:val="continue"/>
            <w:vAlign w:val="center"/>
          </w:tcPr>
          <w:p w14:paraId="14B56F7A">
            <w:pPr>
              <w:spacing w:after="0" w:line="240" w:lineRule="auto"/>
              <w:jc w:val="both"/>
              <w:rPr>
                <w:rFonts w:hint="eastAsia" w:ascii="宋体" w:hAnsi="宋体" w:eastAsia="宋体" w:cs="仿宋_GB2312"/>
                <w:sz w:val="24"/>
                <w14:ligatures w14:val="none"/>
              </w:rPr>
            </w:pPr>
          </w:p>
        </w:tc>
        <w:tc>
          <w:tcPr>
            <w:tcW w:w="6510" w:type="dxa"/>
            <w:vAlign w:val="center"/>
          </w:tcPr>
          <w:p w14:paraId="08AA4BB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《项目质量审计报告》</w:t>
            </w:r>
          </w:p>
        </w:tc>
      </w:tr>
      <w:tr w14:paraId="15AC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81" w:type="dxa"/>
            <w:vMerge w:val="continue"/>
            <w:vAlign w:val="center"/>
          </w:tcPr>
          <w:p w14:paraId="61362C74">
            <w:pPr>
              <w:spacing w:after="0" w:line="240" w:lineRule="auto"/>
              <w:jc w:val="both"/>
              <w:rPr>
                <w:rFonts w:hint="eastAsia" w:ascii="宋体" w:hAnsi="宋体" w:eastAsia="宋体" w:cs="仿宋_GB2312"/>
                <w:sz w:val="24"/>
                <w14:ligatures w14:val="none"/>
              </w:rPr>
            </w:pPr>
          </w:p>
        </w:tc>
        <w:tc>
          <w:tcPr>
            <w:tcW w:w="6510" w:type="dxa"/>
            <w:vAlign w:val="center"/>
          </w:tcPr>
          <w:p w14:paraId="70FC33B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《关键人员简历》</w:t>
            </w:r>
            <w:r>
              <w:rPr>
                <w:rFonts w:hint="eastAsia" w:ascii="宋体" w:hAnsi="宋体" w:eastAsia="宋体" w:cs="仿宋_GB2312"/>
                <w:sz w:val="24"/>
                <w14:ligatures w14:val="none"/>
              </w:rPr>
              <w:tab/>
            </w:r>
          </w:p>
        </w:tc>
      </w:tr>
      <w:tr w14:paraId="0D8C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81" w:type="dxa"/>
            <w:vMerge w:val="continue"/>
            <w:vAlign w:val="center"/>
          </w:tcPr>
          <w:p w14:paraId="070DD065">
            <w:pPr>
              <w:spacing w:after="0" w:line="240" w:lineRule="auto"/>
              <w:jc w:val="both"/>
              <w:rPr>
                <w:rFonts w:hint="eastAsia" w:ascii="宋体" w:hAnsi="宋体" w:eastAsia="宋体" w:cs="仿宋_GB2312"/>
                <w:sz w:val="24"/>
                <w14:ligatures w14:val="none"/>
              </w:rPr>
            </w:pPr>
          </w:p>
        </w:tc>
        <w:tc>
          <w:tcPr>
            <w:tcW w:w="6510" w:type="dxa"/>
            <w:vAlign w:val="center"/>
          </w:tcPr>
          <w:p w14:paraId="27D18AF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《关键人员人力资源变动报告》</w:t>
            </w:r>
          </w:p>
        </w:tc>
      </w:tr>
      <w:tr w14:paraId="3C6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81" w:type="dxa"/>
            <w:vMerge w:val="continue"/>
            <w:vAlign w:val="center"/>
          </w:tcPr>
          <w:p w14:paraId="6768F884">
            <w:pPr>
              <w:spacing w:after="0" w:line="240" w:lineRule="auto"/>
              <w:jc w:val="both"/>
              <w:rPr>
                <w:rFonts w:hint="eastAsia" w:ascii="宋体" w:hAnsi="宋体" w:eastAsia="宋体" w:cs="仿宋_GB2312"/>
                <w:sz w:val="24"/>
                <w14:ligatures w14:val="none"/>
              </w:rPr>
            </w:pPr>
          </w:p>
        </w:tc>
        <w:tc>
          <w:tcPr>
            <w:tcW w:w="6510" w:type="dxa"/>
            <w:vAlign w:val="center"/>
          </w:tcPr>
          <w:p w14:paraId="3BCF62E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项目状态报告</w:t>
            </w:r>
          </w:p>
        </w:tc>
      </w:tr>
      <w:tr w14:paraId="1F0A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1732F81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需求分析</w:t>
            </w:r>
          </w:p>
        </w:tc>
        <w:tc>
          <w:tcPr>
            <w:tcW w:w="4177" w:type="pct"/>
          </w:tcPr>
          <w:p w14:paraId="12DA001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《功能需求规格说明书》</w:t>
            </w:r>
            <w:r>
              <w:rPr>
                <w:rFonts w:hint="eastAsia" w:ascii="宋体" w:hAnsi="宋体" w:eastAsia="宋体" w:cs="仿宋_GB2312"/>
                <w:sz w:val="24"/>
                <w14:ligatures w14:val="none"/>
              </w:rPr>
              <w:tab/>
            </w:r>
          </w:p>
        </w:tc>
      </w:tr>
      <w:tr w14:paraId="4430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A0A717E">
            <w:pPr>
              <w:spacing w:after="0" w:line="240" w:lineRule="auto"/>
              <w:jc w:val="both"/>
              <w:rPr>
                <w:rFonts w:hint="eastAsia" w:ascii="宋体" w:hAnsi="宋体" w:eastAsia="宋体" w:cs="仿宋_GB2312"/>
                <w:sz w:val="24"/>
                <w14:ligatures w14:val="none"/>
              </w:rPr>
            </w:pPr>
          </w:p>
        </w:tc>
        <w:tc>
          <w:tcPr>
            <w:tcW w:w="4177" w:type="pct"/>
          </w:tcPr>
          <w:p w14:paraId="7BE93D7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《非功能需求规格说明书》（如有）</w:t>
            </w:r>
          </w:p>
        </w:tc>
      </w:tr>
      <w:tr w14:paraId="4575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restart"/>
            <w:vAlign w:val="center"/>
          </w:tcPr>
          <w:p w14:paraId="3960324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设计</w:t>
            </w:r>
          </w:p>
        </w:tc>
        <w:tc>
          <w:tcPr>
            <w:tcW w:w="4177" w:type="pct"/>
          </w:tcPr>
          <w:p w14:paraId="09B3B65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《概要设计说明书》</w:t>
            </w:r>
          </w:p>
        </w:tc>
      </w:tr>
      <w:tr w14:paraId="23AD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vAlign w:val="center"/>
          </w:tcPr>
          <w:p w14:paraId="62BCE00C">
            <w:pPr>
              <w:spacing w:after="0" w:line="240" w:lineRule="auto"/>
              <w:jc w:val="both"/>
              <w:rPr>
                <w:rFonts w:hint="eastAsia" w:ascii="宋体" w:hAnsi="宋体" w:eastAsia="宋体" w:cs="仿宋_GB2312"/>
                <w:sz w:val="24"/>
                <w14:ligatures w14:val="none"/>
              </w:rPr>
            </w:pPr>
          </w:p>
        </w:tc>
        <w:tc>
          <w:tcPr>
            <w:tcW w:w="4177" w:type="pct"/>
          </w:tcPr>
          <w:p w14:paraId="3F75DD3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《详细设计说明书》</w:t>
            </w:r>
          </w:p>
        </w:tc>
      </w:tr>
      <w:tr w14:paraId="5913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vAlign w:val="center"/>
          </w:tcPr>
          <w:p w14:paraId="369EDC46">
            <w:pPr>
              <w:spacing w:after="0" w:line="240" w:lineRule="auto"/>
              <w:jc w:val="both"/>
              <w:rPr>
                <w:rFonts w:hint="eastAsia" w:ascii="宋体" w:hAnsi="宋体" w:eastAsia="宋体" w:cs="仿宋_GB2312"/>
                <w:sz w:val="24"/>
                <w14:ligatures w14:val="none"/>
              </w:rPr>
            </w:pPr>
          </w:p>
        </w:tc>
        <w:tc>
          <w:tcPr>
            <w:tcW w:w="4177" w:type="pct"/>
          </w:tcPr>
          <w:p w14:paraId="4262B10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应用系统部署架构（如有）</w:t>
            </w:r>
          </w:p>
        </w:tc>
      </w:tr>
      <w:tr w14:paraId="0C7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vAlign w:val="center"/>
          </w:tcPr>
          <w:p w14:paraId="19C64BC9">
            <w:pPr>
              <w:spacing w:after="0" w:line="240" w:lineRule="auto"/>
              <w:jc w:val="both"/>
              <w:rPr>
                <w:rFonts w:hint="eastAsia" w:ascii="宋体" w:hAnsi="宋体" w:eastAsia="宋体" w:cs="仿宋_GB2312"/>
                <w:sz w:val="24"/>
                <w14:ligatures w14:val="none"/>
              </w:rPr>
            </w:pPr>
          </w:p>
        </w:tc>
        <w:tc>
          <w:tcPr>
            <w:tcW w:w="4177" w:type="pct"/>
          </w:tcPr>
          <w:p w14:paraId="275555D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基础软硬件配置清单（如有）</w:t>
            </w:r>
          </w:p>
        </w:tc>
      </w:tr>
      <w:tr w14:paraId="1298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6F42E29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开发</w:t>
            </w:r>
          </w:p>
        </w:tc>
        <w:tc>
          <w:tcPr>
            <w:tcW w:w="4177" w:type="pct"/>
          </w:tcPr>
          <w:p w14:paraId="44189BA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《单元测试案例》</w:t>
            </w:r>
          </w:p>
        </w:tc>
      </w:tr>
      <w:tr w14:paraId="7237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72C28553">
            <w:pPr>
              <w:spacing w:after="0" w:line="240" w:lineRule="auto"/>
              <w:jc w:val="both"/>
              <w:rPr>
                <w:rFonts w:hint="eastAsia" w:ascii="宋体" w:hAnsi="宋体" w:eastAsia="宋体" w:cs="仿宋_GB2312"/>
                <w:sz w:val="24"/>
                <w14:ligatures w14:val="none"/>
              </w:rPr>
            </w:pPr>
          </w:p>
        </w:tc>
        <w:tc>
          <w:tcPr>
            <w:tcW w:w="4177" w:type="pct"/>
          </w:tcPr>
          <w:p w14:paraId="13C3110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《系统内集成测试案例》</w:t>
            </w:r>
          </w:p>
        </w:tc>
      </w:tr>
      <w:tr w14:paraId="7CB3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A2C5D92">
            <w:pPr>
              <w:spacing w:after="0" w:line="240" w:lineRule="auto"/>
              <w:jc w:val="both"/>
              <w:rPr>
                <w:rFonts w:hint="eastAsia" w:ascii="宋体" w:hAnsi="宋体" w:eastAsia="宋体" w:cs="仿宋_GB2312"/>
                <w:sz w:val="24"/>
                <w14:ligatures w14:val="none"/>
              </w:rPr>
            </w:pPr>
          </w:p>
        </w:tc>
        <w:tc>
          <w:tcPr>
            <w:tcW w:w="4177" w:type="pct"/>
          </w:tcPr>
          <w:p w14:paraId="4AFEBA1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《系统内集成测试报告》</w:t>
            </w:r>
          </w:p>
        </w:tc>
      </w:tr>
      <w:tr w14:paraId="2063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1F889BF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测试</w:t>
            </w:r>
          </w:p>
        </w:tc>
        <w:tc>
          <w:tcPr>
            <w:tcW w:w="4177" w:type="pct"/>
          </w:tcPr>
          <w:p w14:paraId="639301C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《系统间集成测试案例》</w:t>
            </w:r>
          </w:p>
        </w:tc>
      </w:tr>
      <w:tr w14:paraId="186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4F473376">
            <w:pPr>
              <w:spacing w:after="0" w:line="240" w:lineRule="auto"/>
              <w:jc w:val="both"/>
              <w:rPr>
                <w:rFonts w:hint="eastAsia" w:ascii="宋体" w:hAnsi="宋体" w:eastAsia="宋体" w:cs="仿宋_GB2312"/>
                <w:sz w:val="24"/>
                <w14:ligatures w14:val="none"/>
              </w:rPr>
            </w:pPr>
          </w:p>
        </w:tc>
        <w:tc>
          <w:tcPr>
            <w:tcW w:w="4177" w:type="pct"/>
          </w:tcPr>
          <w:p w14:paraId="6953A7B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《系统间集成测试报告》</w:t>
            </w:r>
            <w:r>
              <w:rPr>
                <w:rFonts w:hint="eastAsia" w:ascii="宋体" w:hAnsi="宋体" w:eastAsia="宋体" w:cs="仿宋_GB2312"/>
                <w:sz w:val="24"/>
                <w14:ligatures w14:val="none"/>
              </w:rPr>
              <w:tab/>
            </w:r>
          </w:p>
        </w:tc>
      </w:tr>
      <w:tr w14:paraId="3999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CE8CCA1">
            <w:pPr>
              <w:spacing w:after="0" w:line="240" w:lineRule="auto"/>
              <w:jc w:val="both"/>
              <w:rPr>
                <w:rFonts w:hint="eastAsia" w:ascii="宋体" w:hAnsi="宋体" w:eastAsia="宋体" w:cs="仿宋_GB2312"/>
                <w:sz w:val="24"/>
                <w14:ligatures w14:val="none"/>
              </w:rPr>
            </w:pPr>
          </w:p>
        </w:tc>
        <w:tc>
          <w:tcPr>
            <w:tcW w:w="4177" w:type="pct"/>
          </w:tcPr>
          <w:p w14:paraId="5275372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通过用户验收测试后的源代码</w:t>
            </w:r>
          </w:p>
        </w:tc>
      </w:tr>
      <w:tr w14:paraId="4D16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7E98E12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业务培训</w:t>
            </w:r>
          </w:p>
        </w:tc>
        <w:tc>
          <w:tcPr>
            <w:tcW w:w="4177" w:type="pct"/>
          </w:tcPr>
          <w:p w14:paraId="7F2D343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《培训讲义》（如有）</w:t>
            </w:r>
          </w:p>
        </w:tc>
      </w:tr>
      <w:tr w14:paraId="674F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4040ACB2">
            <w:pPr>
              <w:spacing w:after="0" w:line="240" w:lineRule="auto"/>
              <w:jc w:val="both"/>
              <w:rPr>
                <w:rFonts w:hint="eastAsia" w:ascii="宋体" w:hAnsi="宋体" w:eastAsia="宋体" w:cs="仿宋_GB2312"/>
                <w:sz w:val="24"/>
                <w14:ligatures w14:val="none"/>
              </w:rPr>
            </w:pPr>
          </w:p>
        </w:tc>
        <w:tc>
          <w:tcPr>
            <w:tcW w:w="4177" w:type="pct"/>
          </w:tcPr>
          <w:p w14:paraId="58820BE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《用户操作手册》（如有）</w:t>
            </w:r>
          </w:p>
        </w:tc>
      </w:tr>
      <w:tr w14:paraId="655B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Align w:val="center"/>
          </w:tcPr>
          <w:p w14:paraId="7D79DAF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技术培训</w:t>
            </w:r>
          </w:p>
        </w:tc>
        <w:tc>
          <w:tcPr>
            <w:tcW w:w="4177" w:type="pct"/>
          </w:tcPr>
          <w:p w14:paraId="40BF44D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《培训讲义》（如有）</w:t>
            </w:r>
          </w:p>
        </w:tc>
      </w:tr>
      <w:tr w14:paraId="5ABE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15A2BE6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系统投产</w:t>
            </w:r>
          </w:p>
        </w:tc>
        <w:tc>
          <w:tcPr>
            <w:tcW w:w="4177" w:type="pct"/>
          </w:tcPr>
          <w:p w14:paraId="668EE94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《投产任务跟踪表》（按版本）</w:t>
            </w:r>
          </w:p>
        </w:tc>
      </w:tr>
      <w:tr w14:paraId="0C20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D84F992">
            <w:pPr>
              <w:spacing w:after="0" w:line="240" w:lineRule="auto"/>
              <w:jc w:val="both"/>
              <w:rPr>
                <w:rFonts w:hint="eastAsia" w:ascii="宋体" w:hAnsi="宋体" w:eastAsia="宋体" w:cs="仿宋_GB2312"/>
                <w:sz w:val="24"/>
                <w14:ligatures w14:val="none"/>
              </w:rPr>
            </w:pPr>
          </w:p>
        </w:tc>
        <w:tc>
          <w:tcPr>
            <w:tcW w:w="4177" w:type="pct"/>
          </w:tcPr>
          <w:p w14:paraId="3D9DF2B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《操作控制表》</w:t>
            </w:r>
          </w:p>
        </w:tc>
      </w:tr>
      <w:tr w14:paraId="329D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886C07B">
            <w:pPr>
              <w:spacing w:after="0" w:line="240" w:lineRule="auto"/>
              <w:jc w:val="both"/>
              <w:rPr>
                <w:rFonts w:hint="eastAsia" w:ascii="宋体" w:hAnsi="宋体" w:eastAsia="宋体" w:cs="仿宋_GB2312"/>
                <w:sz w:val="24"/>
                <w14:ligatures w14:val="none"/>
              </w:rPr>
            </w:pPr>
          </w:p>
        </w:tc>
        <w:tc>
          <w:tcPr>
            <w:tcW w:w="4177" w:type="pct"/>
          </w:tcPr>
          <w:p w14:paraId="135607C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待投产的应用程序版本</w:t>
            </w:r>
          </w:p>
        </w:tc>
      </w:tr>
      <w:tr w14:paraId="777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3DD1718B">
            <w:pPr>
              <w:spacing w:after="0" w:line="240" w:lineRule="auto"/>
              <w:jc w:val="both"/>
              <w:rPr>
                <w:rFonts w:hint="eastAsia" w:ascii="宋体" w:hAnsi="宋体" w:eastAsia="宋体" w:cs="仿宋_GB2312"/>
                <w:sz w:val="24"/>
                <w14:ligatures w14:val="none"/>
              </w:rPr>
            </w:pPr>
          </w:p>
        </w:tc>
        <w:tc>
          <w:tcPr>
            <w:tcW w:w="4177" w:type="pct"/>
          </w:tcPr>
          <w:p w14:paraId="2CA040B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《应急预案》（如有）</w:t>
            </w:r>
          </w:p>
        </w:tc>
      </w:tr>
      <w:tr w14:paraId="150A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16F8100">
            <w:pPr>
              <w:spacing w:after="0" w:line="240" w:lineRule="auto"/>
              <w:jc w:val="both"/>
              <w:rPr>
                <w:rFonts w:hint="eastAsia" w:ascii="宋体" w:hAnsi="宋体" w:eastAsia="宋体" w:cs="仿宋_GB2312"/>
                <w:sz w:val="24"/>
                <w14:ligatures w14:val="none"/>
              </w:rPr>
            </w:pPr>
          </w:p>
        </w:tc>
        <w:tc>
          <w:tcPr>
            <w:tcW w:w="4177" w:type="pct"/>
          </w:tcPr>
          <w:p w14:paraId="5339C10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《投产报告》（按版本）</w:t>
            </w:r>
          </w:p>
        </w:tc>
      </w:tr>
      <w:tr w14:paraId="68FA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70FAA019">
            <w:pPr>
              <w:spacing w:after="0" w:line="240" w:lineRule="auto"/>
              <w:jc w:val="both"/>
              <w:rPr>
                <w:rFonts w:hint="eastAsia" w:ascii="宋体" w:hAnsi="宋体" w:eastAsia="宋体" w:cs="仿宋_GB2312"/>
                <w:sz w:val="24"/>
                <w14:ligatures w14:val="none"/>
              </w:rPr>
            </w:pPr>
          </w:p>
        </w:tc>
        <w:tc>
          <w:tcPr>
            <w:tcW w:w="4177" w:type="pct"/>
          </w:tcPr>
          <w:p w14:paraId="4615166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《运维手册》、《日志报错代码表》、《批量手册》、《监控手册》、《知识库》（如有）</w:t>
            </w:r>
          </w:p>
        </w:tc>
      </w:tr>
      <w:tr w14:paraId="7F10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vAlign w:val="center"/>
          </w:tcPr>
          <w:p w14:paraId="61EE5BB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系统应用维护</w:t>
            </w:r>
          </w:p>
        </w:tc>
        <w:tc>
          <w:tcPr>
            <w:tcW w:w="4177" w:type="pct"/>
          </w:tcPr>
          <w:p w14:paraId="417AACF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知识转移文档：《运维手册》（含《日志存储备份清理方案》等日常运维的必要件）、《日志报错代码表》、《批量手册》、《监控手册》（如有）</w:t>
            </w:r>
          </w:p>
        </w:tc>
      </w:tr>
      <w:tr w14:paraId="2EA7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5F59BF64">
            <w:pPr>
              <w:spacing w:after="0" w:line="240" w:lineRule="auto"/>
              <w:jc w:val="both"/>
              <w:rPr>
                <w:rFonts w:hint="eastAsia" w:ascii="宋体" w:hAnsi="宋体" w:eastAsia="宋体" w:cs="仿宋_GB2312"/>
                <w:sz w:val="24"/>
                <w14:ligatures w14:val="none"/>
              </w:rPr>
            </w:pPr>
          </w:p>
        </w:tc>
        <w:tc>
          <w:tcPr>
            <w:tcW w:w="4177" w:type="pct"/>
          </w:tcPr>
          <w:p w14:paraId="4FE098E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知识库（包含《上线运行问题报告和问题跟踪表》、《重大问题分析报告》（如有））</w:t>
            </w:r>
          </w:p>
        </w:tc>
      </w:tr>
      <w:tr w14:paraId="08C7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12828E6E">
            <w:pPr>
              <w:spacing w:after="0" w:line="240" w:lineRule="auto"/>
              <w:jc w:val="both"/>
              <w:rPr>
                <w:rFonts w:hint="eastAsia" w:ascii="宋体" w:hAnsi="宋体" w:eastAsia="宋体" w:cs="仿宋_GB2312"/>
                <w:sz w:val="24"/>
                <w14:ligatures w14:val="none"/>
              </w:rPr>
            </w:pPr>
          </w:p>
        </w:tc>
        <w:tc>
          <w:tcPr>
            <w:tcW w:w="4177" w:type="pct"/>
          </w:tcPr>
          <w:p w14:paraId="7B335BF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《维护期总结报告》</w:t>
            </w:r>
          </w:p>
        </w:tc>
      </w:tr>
      <w:tr w14:paraId="7D06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vAlign w:val="center"/>
          </w:tcPr>
          <w:p w14:paraId="69B27C9C">
            <w:pPr>
              <w:spacing w:after="0" w:line="240" w:lineRule="auto"/>
              <w:jc w:val="both"/>
              <w:rPr>
                <w:rFonts w:hint="eastAsia" w:ascii="宋体" w:hAnsi="宋体" w:eastAsia="宋体" w:cs="仿宋_GB2312"/>
                <w:sz w:val="24"/>
                <w14:ligatures w14:val="none"/>
              </w:rPr>
            </w:pPr>
          </w:p>
        </w:tc>
        <w:tc>
          <w:tcPr>
            <w:tcW w:w="4177" w:type="pct"/>
          </w:tcPr>
          <w:p w14:paraId="292D9C0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《月度运行维护报告》</w:t>
            </w:r>
          </w:p>
        </w:tc>
      </w:tr>
    </w:tbl>
    <w:p w14:paraId="2FF5E4FB">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2" w:name="_Toc30369"/>
      <w:r>
        <w:rPr>
          <w:rFonts w:hint="eastAsia" w:ascii="宋体" w:hAnsi="宋体" w:eastAsia="宋体" w:cs="Times New Roman"/>
          <w:b/>
          <w:bCs/>
          <w:sz w:val="24"/>
          <w14:ligatures w14:val="none"/>
        </w:rPr>
        <w:fldChar w:fldCharType="begin"/>
      </w:r>
      <w:r>
        <w:rPr>
          <w:rFonts w:hint="eastAsia" w:ascii="宋体" w:hAnsi="宋体" w:eastAsia="宋体" w:cs="Times New Roman"/>
          <w:b/>
          <w:bCs/>
          <w:sz w:val="24"/>
          <w14:ligatures w14:val="none"/>
        </w:rPr>
        <w:instrText xml:space="preserve"> HYPERLINK \l _Toc29694 </w:instrText>
      </w:r>
      <w:r>
        <w:rPr>
          <w:rFonts w:hint="eastAsia" w:ascii="宋体" w:hAnsi="宋体" w:eastAsia="宋体" w:cs="Times New Roman"/>
          <w:b/>
          <w:bCs/>
          <w:sz w:val="24"/>
          <w14:ligatures w14:val="none"/>
        </w:rPr>
        <w:fldChar w:fldCharType="separate"/>
      </w:r>
      <w:r>
        <w:rPr>
          <w:rFonts w:hint="eastAsia" w:ascii="宋体" w:hAnsi="宋体" w:eastAsia="宋体" w:cs="Times New Roman"/>
          <w:b/>
          <w:bCs/>
          <w:sz w:val="24"/>
          <w14:ligatures w14:val="none"/>
        </w:rPr>
        <w:t>六、项目团队要求</w:t>
      </w:r>
      <w:r>
        <w:rPr>
          <w:rFonts w:hint="eastAsia" w:ascii="宋体" w:hAnsi="宋体" w:eastAsia="宋体" w:cs="Times New Roman"/>
          <w:b/>
          <w:bCs/>
          <w:sz w:val="24"/>
          <w14:ligatures w14:val="none"/>
        </w:rPr>
        <w:fldChar w:fldCharType="end"/>
      </w:r>
      <w:bookmarkEnd w:id="12"/>
    </w:p>
    <w:p w14:paraId="76858100">
      <w:pPr>
        <w:spacing w:after="0" w:line="360" w:lineRule="auto"/>
        <w:ind w:firstLine="480" w:firstLineChars="200"/>
        <w:jc w:val="both"/>
        <w:rPr>
          <w:rFonts w:hint="eastAsia" w:ascii="宋体" w:hAnsi="宋体" w:eastAsia="宋体" w:cs="仿宋_GB2312"/>
          <w:sz w:val="24"/>
          <w14:ligatures w14:val="none"/>
        </w:rPr>
      </w:pPr>
      <w:r>
        <w:rPr>
          <w:rFonts w:ascii="宋体" w:hAnsi="宋体" w:eastAsia="宋体" w:cs="仿宋_GB2312"/>
          <w:sz w:val="24"/>
          <w14:ligatures w14:val="none"/>
        </w:rPr>
        <w:t>具有自由贸易账户系统同类项目实施经验</w:t>
      </w:r>
      <w:r>
        <w:rPr>
          <w:rFonts w:hint="eastAsia" w:ascii="宋体" w:hAnsi="宋体" w:eastAsia="宋体" w:cs="仿宋_GB2312"/>
          <w:sz w:val="24"/>
          <w14:ligatures w14:val="none"/>
        </w:rPr>
        <w:t>；具备完成服务范围内各项工作的能力；团队中关键核心岗位人员（如项目经理）不得外包。</w:t>
      </w:r>
    </w:p>
    <w:p w14:paraId="38EEC68A">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1.项目经理、关键技术人员应具有服务建设银行或其输出客户同类项目的工作经验，提供人员简历。如发生更换，对替代人员的工作经验要求相同。</w:t>
      </w:r>
    </w:p>
    <w:p w14:paraId="07AC549C">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承诺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14:paraId="598BB28A">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3.承诺进入项目组的现场服务人员，</w:t>
      </w:r>
      <w:r>
        <w:rPr>
          <w:rFonts w:hint="eastAsia" w:ascii="宋体" w:hAnsi="宋体" w:eastAsia="宋体" w:cs="仿宋"/>
          <w:sz w:val="24"/>
          <w14:ligatures w14:val="none"/>
        </w:rPr>
        <w:t>要提供人员简历、学历证明复印件及人员相关认证资质复印件，签署安全保密承诺书，并</w:t>
      </w:r>
      <w:r>
        <w:rPr>
          <w:rFonts w:hint="eastAsia" w:ascii="宋体" w:hAnsi="宋体" w:eastAsia="宋体" w:cs="仿宋_GB2312"/>
          <w:sz w:val="24"/>
          <w14:ligatures w14:val="none"/>
        </w:rPr>
        <w:t>满足采购人管理要求：</w:t>
      </w:r>
    </w:p>
    <w:p w14:paraId="308A353D">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（1）所有服务人员必须遵守采购人作息制度和相关工作制度规定，提供5*8小时驻场服务。</w:t>
      </w:r>
    </w:p>
    <w:p w14:paraId="733C3B40">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（2）服务期间，所有服务人员必须严格按照采购人各项规章制度合规开展工作；驻场服务地点为采购人指定地点。</w:t>
      </w:r>
    </w:p>
    <w:p w14:paraId="46F1B597">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任何服务人员不得随意更换。如果更换人员则供应商应提前1个月通知采购人，并经过采购人审核通过后方可换人。同时要求新换人员必须通过采购人的审核，且由供应商保证人员更换期间支持工作的连续性；</w:t>
      </w:r>
    </w:p>
    <w:p w14:paraId="6703A4F9">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（4）如果服务人员因违反采购人工作纪律或相关运行制度，并给采购人造成了损失，则供应商有责任进行赔偿，具体赔偿标准见合同。</w:t>
      </w:r>
    </w:p>
    <w:p w14:paraId="7554D4DD">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仿宋_GB2312"/>
          <w:sz w:val="24"/>
          <w14:ligatures w14:val="none"/>
        </w:rPr>
        <w:t>（5）根据支持效果，对于不能够胜任支持工作的人员，采购人有权利要求供应商重新进行调换。同时由供应商保证人员更换期间支持工作的连续性。</w:t>
      </w:r>
    </w:p>
    <w:p w14:paraId="2F62D218">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3" w:name="_Toc22167"/>
      <w:bookmarkStart w:id="14" w:name="_Toc1526"/>
      <w:r>
        <w:rPr>
          <w:rFonts w:hint="eastAsia" w:ascii="宋体" w:hAnsi="宋体" w:eastAsia="宋体" w:cs="Times New Roman"/>
          <w:b/>
          <w:bCs/>
          <w:sz w:val="24"/>
          <w14:ligatures w14:val="none"/>
        </w:rPr>
        <w:t>七、安全要求</w:t>
      </w:r>
      <w:bookmarkEnd w:id="13"/>
      <w:bookmarkEnd w:id="14"/>
    </w:p>
    <w:p w14:paraId="00FF287F">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在未征得采购人同意的情况下，供应商必须保证所提供的人员能够严格遵守各项规章制度，主要包括但不限于以下内容：</w:t>
      </w:r>
    </w:p>
    <w:p w14:paraId="14615595">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（一）法律合规方面，应有效规避实施过程中给采购人带来的法律风险。</w:t>
      </w:r>
    </w:p>
    <w:p w14:paraId="5EF693AE">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（二）信息安全方面，应有效规避因服务人员导致的银行信息（如业务数据和商务信息等）泄漏风险。</w:t>
      </w:r>
    </w:p>
    <w:p w14:paraId="754B0050">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（三）生产安全方面，应严格规避因人员操作不当，导致的银行系统出现安全性和稳定性风险事件。</w:t>
      </w:r>
    </w:p>
    <w:p w14:paraId="624C9133">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（四）安全审计方面，应确保针对银行设备的相关操作留有纸质或视频记录。</w:t>
      </w:r>
    </w:p>
    <w:p w14:paraId="79E24AFA">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（五）</w:t>
      </w:r>
      <w:r>
        <w:rPr>
          <w:rFonts w:ascii="宋体" w:hAnsi="宋体" w:eastAsia="宋体" w:cs="Times New Roman"/>
          <w:sz w:val="24"/>
          <w14:ligatures w14:val="none"/>
        </w:rPr>
        <w:t>保密</w:t>
      </w:r>
      <w:r>
        <w:rPr>
          <w:rFonts w:hint="eastAsia" w:ascii="宋体" w:hAnsi="宋体" w:eastAsia="宋体" w:cs="Times New Roman"/>
          <w:sz w:val="24"/>
          <w14:ligatures w14:val="none"/>
        </w:rPr>
        <w:t>要求方面，</w:t>
      </w:r>
      <w:r>
        <w:rPr>
          <w:rFonts w:ascii="宋体" w:hAnsi="宋体" w:eastAsia="宋体" w:cs="Times New Roman"/>
          <w:sz w:val="24"/>
          <w14:ligatures w14:val="none"/>
        </w:rPr>
        <w:t>供应商对项目实施中涉及到的相关数据、资料、文档等具有保密的义务，并应按照相应保密规定执行。本项目所形成的数据成果归</w:t>
      </w:r>
      <w:r>
        <w:rPr>
          <w:rFonts w:hint="eastAsia" w:ascii="宋体" w:hAnsi="宋体" w:eastAsia="宋体" w:cs="Times New Roman"/>
          <w:sz w:val="24"/>
          <w14:ligatures w14:val="none"/>
        </w:rPr>
        <w:t>采购人</w:t>
      </w:r>
      <w:r>
        <w:rPr>
          <w:rFonts w:ascii="宋体" w:hAnsi="宋体" w:eastAsia="宋体" w:cs="Times New Roman"/>
          <w:sz w:val="24"/>
          <w14:ligatures w14:val="none"/>
        </w:rPr>
        <w:t>所有。未经</w:t>
      </w:r>
      <w:r>
        <w:rPr>
          <w:rFonts w:hint="eastAsia" w:ascii="宋体" w:hAnsi="宋体" w:eastAsia="宋体" w:cs="Times New Roman"/>
          <w:sz w:val="24"/>
          <w14:ligatures w14:val="none"/>
        </w:rPr>
        <w:t>采购人</w:t>
      </w:r>
      <w:r>
        <w:rPr>
          <w:rFonts w:ascii="宋体" w:hAnsi="宋体" w:eastAsia="宋体" w:cs="Times New Roman"/>
          <w:sz w:val="24"/>
          <w14:ligatures w14:val="none"/>
        </w:rPr>
        <w:t>同意，供应商</w:t>
      </w:r>
      <w:r>
        <w:rPr>
          <w:rFonts w:hint="eastAsia" w:ascii="宋体" w:hAnsi="宋体" w:eastAsia="宋体" w:cs="Times New Roman"/>
          <w:sz w:val="24"/>
          <w14:ligatures w14:val="none"/>
        </w:rPr>
        <w:t>不得向第三方泄露、公开或用于提供法律服务之外的其他目的，对掌握的采购人、采购人客户的资料，供应商应采取措施与其他客户资料施行有效隔离。</w:t>
      </w:r>
    </w:p>
    <w:p w14:paraId="727FD9F6">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5" w:name="_Toc21831"/>
      <w:bookmarkStart w:id="16" w:name="_Toc8015"/>
      <w:r>
        <w:rPr>
          <w:rFonts w:hint="eastAsia" w:ascii="宋体" w:hAnsi="宋体" w:eastAsia="宋体" w:cs="Times New Roman"/>
          <w:b/>
          <w:bCs/>
          <w:sz w:val="24"/>
          <w14:ligatures w14:val="none"/>
        </w:rPr>
        <w:t>八</w:t>
      </w:r>
      <w:r>
        <w:rPr>
          <w:rFonts w:ascii="宋体" w:hAnsi="宋体" w:eastAsia="宋体" w:cs="Times New Roman"/>
          <w:b/>
          <w:bCs/>
          <w:sz w:val="24"/>
          <w14:ligatures w14:val="none"/>
        </w:rPr>
        <w:t>、交付或实施时间、地点</w:t>
      </w:r>
      <w:bookmarkEnd w:id="15"/>
      <w:bookmarkEnd w:id="16"/>
    </w:p>
    <w:p w14:paraId="69AE3AC1">
      <w:p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（一）项目周期</w:t>
      </w:r>
    </w:p>
    <w:p w14:paraId="6A10EDE8">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1.模拟仿真验证周期为合同签署至</w:t>
      </w:r>
      <w:r>
        <w:rPr>
          <w:rFonts w:ascii="宋体" w:hAnsi="宋体" w:eastAsia="宋体" w:cs="Times New Roman"/>
          <w:sz w:val="24"/>
          <w14:ligatures w14:val="none"/>
        </w:rPr>
        <w:t>项目</w:t>
      </w:r>
      <w:r>
        <w:rPr>
          <w:rFonts w:hint="eastAsia" w:ascii="宋体" w:hAnsi="宋体" w:eastAsia="宋体" w:cs="Times New Roman"/>
          <w:sz w:val="24"/>
          <w14:ligatures w14:val="none"/>
        </w:rPr>
        <w:t>验收通过，如无新增需求实施，该周期即为项目周期。</w:t>
      </w:r>
    </w:p>
    <w:p w14:paraId="0E26EB5A">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2.</w:t>
      </w:r>
      <w:r>
        <w:rPr>
          <w:rFonts w:hint="eastAsia"/>
        </w:rPr>
        <w:t xml:space="preserve"> </w:t>
      </w:r>
      <w:r>
        <w:rPr>
          <w:rFonts w:hint="eastAsia" w:ascii="宋体" w:hAnsi="宋体" w:eastAsia="宋体" w:cs="Times New Roman"/>
          <w:sz w:val="24"/>
          <w14:ligatures w14:val="none"/>
        </w:rPr>
        <w:t>新增需求应于模拟仿真验证完成前上线。实施周期为需求上线后，重保期3个月，投产验收通过后提供12个月免费运维服务。</w:t>
      </w:r>
    </w:p>
    <w:p w14:paraId="67059427">
      <w:pPr>
        <w:widowControl/>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（二）服务地点</w:t>
      </w:r>
    </w:p>
    <w:p w14:paraId="4B3BE041">
      <w:pPr>
        <w:widowControl/>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ascii="宋体" w:hAnsi="宋体" w:eastAsia="宋体" w:cs="Times New Roman"/>
          <w:sz w:val="24"/>
          <w14:ligatures w14:val="none"/>
        </w:rPr>
        <w:t>中国进出口银行信息科技部</w:t>
      </w:r>
      <w:r>
        <w:rPr>
          <w:rFonts w:hint="eastAsia" w:ascii="宋体" w:hAnsi="宋体" w:eastAsia="宋体" w:cs="Times New Roman"/>
          <w:sz w:val="24"/>
          <w14:ligatures w14:val="none"/>
        </w:rPr>
        <w:t>（北京或其他双方约定地点）</w:t>
      </w:r>
      <w:r>
        <w:rPr>
          <w:rFonts w:ascii="宋体" w:hAnsi="宋体" w:eastAsia="宋体" w:cs="Times New Roman"/>
          <w:sz w:val="24"/>
          <w14:ligatures w14:val="none"/>
        </w:rPr>
        <w:t>。</w:t>
      </w:r>
    </w:p>
    <w:p w14:paraId="6FD46A26">
      <w:pPr>
        <w:keepNext/>
        <w:keepLines/>
        <w:numPr>
          <w:ilvl w:val="0"/>
          <w:numId w:val="8"/>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7" w:name="_Toc10124"/>
      <w:bookmarkStart w:id="18" w:name="_Toc27829"/>
      <w:r>
        <w:rPr>
          <w:rFonts w:ascii="宋体" w:hAnsi="宋体" w:eastAsia="宋体" w:cs="Times New Roman"/>
          <w:b/>
          <w:bCs/>
          <w:sz w:val="24"/>
          <w14:ligatures w14:val="none"/>
        </w:rPr>
        <w:t>财务支付要求</w:t>
      </w:r>
      <w:bookmarkEnd w:id="17"/>
    </w:p>
    <w:p w14:paraId="7630D1E0">
      <w:pPr>
        <w:numPr>
          <w:ilvl w:val="0"/>
          <w:numId w:val="9"/>
        </w:num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模拟仿真验证部分</w:t>
      </w:r>
    </w:p>
    <w:p w14:paraId="4AE21D98">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该部分供应商按环境搭建和两轮次模拟仿真验证分别报价。</w:t>
      </w:r>
    </w:p>
    <w:bookmarkEnd w:id="18"/>
    <w:tbl>
      <w:tblPr>
        <w:tblStyle w:val="2"/>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81"/>
        <w:gridCol w:w="4296"/>
        <w:gridCol w:w="2187"/>
      </w:tblGrid>
      <w:tr w14:paraId="6098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5" w:type="dxa"/>
            <w:vAlign w:val="center"/>
          </w:tcPr>
          <w:p w14:paraId="0FE1B6E3">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281" w:type="dxa"/>
            <w:vAlign w:val="center"/>
          </w:tcPr>
          <w:p w14:paraId="28F29529">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付款节点</w:t>
            </w:r>
          </w:p>
        </w:tc>
        <w:tc>
          <w:tcPr>
            <w:tcW w:w="4296" w:type="dxa"/>
            <w:vAlign w:val="center"/>
          </w:tcPr>
          <w:p w14:paraId="0C221D99">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付款条件</w:t>
            </w:r>
          </w:p>
        </w:tc>
        <w:tc>
          <w:tcPr>
            <w:tcW w:w="2187" w:type="dxa"/>
            <w:vAlign w:val="center"/>
          </w:tcPr>
          <w:p w14:paraId="18B6E916">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付款比例(或金额)</w:t>
            </w:r>
          </w:p>
        </w:tc>
      </w:tr>
      <w:tr w14:paraId="2095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85" w:type="dxa"/>
            <w:vAlign w:val="center"/>
          </w:tcPr>
          <w:p w14:paraId="062992E3">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１</w:t>
            </w:r>
          </w:p>
        </w:tc>
        <w:tc>
          <w:tcPr>
            <w:tcW w:w="1281" w:type="dxa"/>
            <w:vAlign w:val="center"/>
          </w:tcPr>
          <w:p w14:paraId="758C77EF">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首付款</w:t>
            </w:r>
          </w:p>
        </w:tc>
        <w:tc>
          <w:tcPr>
            <w:tcW w:w="4296" w:type="dxa"/>
            <w:vAlign w:val="center"/>
          </w:tcPr>
          <w:p w14:paraId="38BDFD84">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合同签署</w:t>
            </w:r>
            <w:r>
              <w:rPr>
                <w:rFonts w:ascii="宋体" w:hAnsi="宋体" w:eastAsia="宋体" w:cs="Times New Roman"/>
                <w:sz w:val="24"/>
                <w14:ligatures w14:val="none"/>
              </w:rPr>
              <w:t>后，</w:t>
            </w:r>
            <w:r>
              <w:rPr>
                <w:rFonts w:hint="eastAsia" w:ascii="宋体" w:hAnsi="宋体" w:eastAsia="宋体" w:cs="Times New Roman"/>
                <w:sz w:val="24"/>
                <w14:ligatures w14:val="none"/>
              </w:rPr>
              <w:t>采购人</w:t>
            </w:r>
            <w:r>
              <w:rPr>
                <w:rFonts w:ascii="宋体" w:hAnsi="宋体" w:eastAsia="宋体" w:cs="Times New Roman"/>
                <w:sz w:val="24"/>
                <w14:ligatures w14:val="none"/>
              </w:rPr>
              <w:t>在收到供应商出具的付款申请及相应金额经采购人认可的合法有效发票之日起</w:t>
            </w:r>
            <w:r>
              <w:rPr>
                <w:rFonts w:hint="eastAsia" w:ascii="宋体" w:hAnsi="宋体" w:eastAsia="宋体" w:cs="Times New Roman"/>
                <w:sz w:val="24"/>
                <w14:ligatures w14:val="none"/>
              </w:rPr>
              <w:t>20个工作</w:t>
            </w:r>
            <w:r>
              <w:rPr>
                <w:rFonts w:ascii="宋体" w:hAnsi="宋体" w:eastAsia="宋体" w:cs="Times New Roman"/>
                <w:sz w:val="24"/>
                <w14:ligatures w14:val="none"/>
              </w:rPr>
              <w:t>日内</w:t>
            </w:r>
          </w:p>
        </w:tc>
        <w:tc>
          <w:tcPr>
            <w:tcW w:w="2187" w:type="dxa"/>
            <w:vAlign w:val="center"/>
          </w:tcPr>
          <w:p w14:paraId="0C95ADAD">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付款至该部分服务费用</w:t>
            </w:r>
            <w:r>
              <w:rPr>
                <w:rFonts w:ascii="宋体" w:hAnsi="宋体" w:eastAsia="宋体" w:cs="Times New Roman"/>
                <w:sz w:val="24"/>
                <w14:ligatures w14:val="none"/>
              </w:rPr>
              <w:t>金额的</w:t>
            </w:r>
            <w:r>
              <w:rPr>
                <w:rFonts w:hint="eastAsia" w:ascii="宋体" w:hAnsi="宋体" w:eastAsia="宋体" w:cs="Times New Roman"/>
                <w:sz w:val="24"/>
                <w14:ligatures w14:val="none"/>
              </w:rPr>
              <w:t>5</w:t>
            </w:r>
            <w:r>
              <w:rPr>
                <w:rFonts w:ascii="宋体" w:hAnsi="宋体" w:eastAsia="宋体" w:cs="Times New Roman"/>
                <w:sz w:val="24"/>
                <w14:ligatures w14:val="none"/>
              </w:rPr>
              <w:t>0%</w:t>
            </w:r>
          </w:p>
        </w:tc>
      </w:tr>
      <w:tr w14:paraId="2E12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85" w:type="dxa"/>
            <w:vAlign w:val="center"/>
          </w:tcPr>
          <w:p w14:paraId="086A77CB">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2</w:t>
            </w:r>
          </w:p>
        </w:tc>
        <w:tc>
          <w:tcPr>
            <w:tcW w:w="1281" w:type="dxa"/>
            <w:vAlign w:val="center"/>
          </w:tcPr>
          <w:p w14:paraId="12731022">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验收款</w:t>
            </w:r>
          </w:p>
        </w:tc>
        <w:tc>
          <w:tcPr>
            <w:tcW w:w="4296" w:type="dxa"/>
            <w:vAlign w:val="center"/>
          </w:tcPr>
          <w:p w14:paraId="7129D2D5">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模拟仿真验证结束且通过采购人验收后，采购人自收到供应商出具的付款申请及相应金额经采购人认可的合法有效发票之日起20个工作</w:t>
            </w:r>
            <w:r>
              <w:rPr>
                <w:rFonts w:ascii="宋体" w:hAnsi="宋体" w:eastAsia="宋体" w:cs="Times New Roman"/>
                <w:sz w:val="24"/>
                <w14:ligatures w14:val="none"/>
              </w:rPr>
              <w:t>日内</w:t>
            </w:r>
          </w:p>
        </w:tc>
        <w:tc>
          <w:tcPr>
            <w:tcW w:w="2187" w:type="dxa"/>
            <w:vAlign w:val="center"/>
          </w:tcPr>
          <w:p w14:paraId="2B76AF0A">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付款至该部分服务费用</w:t>
            </w:r>
            <w:r>
              <w:rPr>
                <w:rFonts w:ascii="宋体" w:hAnsi="宋体" w:eastAsia="宋体" w:cs="Times New Roman"/>
                <w:sz w:val="24"/>
                <w14:ligatures w14:val="none"/>
              </w:rPr>
              <w:t>金额的</w:t>
            </w:r>
            <w:r>
              <w:rPr>
                <w:rFonts w:hint="eastAsia" w:ascii="宋体" w:hAnsi="宋体" w:eastAsia="宋体" w:cs="Times New Roman"/>
                <w:sz w:val="24"/>
                <w14:ligatures w14:val="none"/>
              </w:rPr>
              <w:t>100</w:t>
            </w:r>
            <w:r>
              <w:rPr>
                <w:rFonts w:ascii="宋体" w:hAnsi="宋体" w:eastAsia="宋体" w:cs="Times New Roman"/>
                <w:sz w:val="24"/>
                <w14:ligatures w14:val="none"/>
              </w:rPr>
              <w:t>%</w:t>
            </w:r>
          </w:p>
        </w:tc>
      </w:tr>
    </w:tbl>
    <w:p w14:paraId="629824A1">
      <w:pPr>
        <w:numPr>
          <w:ilvl w:val="0"/>
          <w:numId w:val="7"/>
        </w:num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bookmarkStart w:id="19" w:name="_Toc8242"/>
      <w:bookmarkStart w:id="20" w:name="_Toc29815"/>
      <w:r>
        <w:rPr>
          <w:rFonts w:hint="eastAsia" w:ascii="宋体" w:hAnsi="宋体" w:eastAsia="宋体" w:cs="楷体_GB2312"/>
          <w:b/>
          <w:bCs/>
          <w:sz w:val="24"/>
          <w14:ligatures w14:val="none"/>
        </w:rPr>
        <w:t>新增需求部分</w:t>
      </w:r>
    </w:p>
    <w:p w14:paraId="64917DB3">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该部分根据实际新增需求情况，可变工作量共40人月，以订单的方式实施，并据实结算，用完为止。如模拟仿真验证工作完成后，仍有剩余工作量，则剩余工作量不再使用。</w:t>
      </w:r>
    </w:p>
    <w:tbl>
      <w:tblPr>
        <w:tblStyle w:val="2"/>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90"/>
        <w:gridCol w:w="4663"/>
        <w:gridCol w:w="2373"/>
      </w:tblGrid>
      <w:tr w14:paraId="49C3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26" w:type="dxa"/>
            <w:vAlign w:val="center"/>
          </w:tcPr>
          <w:p w14:paraId="176EDC02">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390" w:type="dxa"/>
            <w:vAlign w:val="center"/>
          </w:tcPr>
          <w:p w14:paraId="5DD25522">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付款节点</w:t>
            </w:r>
          </w:p>
        </w:tc>
        <w:tc>
          <w:tcPr>
            <w:tcW w:w="4663" w:type="dxa"/>
            <w:vAlign w:val="center"/>
          </w:tcPr>
          <w:p w14:paraId="6FDE0FBE">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付款条件</w:t>
            </w:r>
          </w:p>
        </w:tc>
        <w:tc>
          <w:tcPr>
            <w:tcW w:w="2373" w:type="dxa"/>
            <w:vAlign w:val="center"/>
          </w:tcPr>
          <w:p w14:paraId="20EEE0D6">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付款比例(或金额)</w:t>
            </w:r>
          </w:p>
        </w:tc>
      </w:tr>
      <w:tr w14:paraId="620E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6" w:type="dxa"/>
            <w:vAlign w:val="center"/>
          </w:tcPr>
          <w:p w14:paraId="750911FE">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１</w:t>
            </w:r>
          </w:p>
        </w:tc>
        <w:tc>
          <w:tcPr>
            <w:tcW w:w="1390" w:type="dxa"/>
            <w:vAlign w:val="center"/>
          </w:tcPr>
          <w:p w14:paraId="20E0670A">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首付款</w:t>
            </w:r>
          </w:p>
        </w:tc>
        <w:tc>
          <w:tcPr>
            <w:tcW w:w="4663" w:type="dxa"/>
            <w:vAlign w:val="center"/>
          </w:tcPr>
          <w:p w14:paraId="4E9C5132">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合同签署</w:t>
            </w:r>
            <w:r>
              <w:rPr>
                <w:rFonts w:ascii="宋体" w:hAnsi="宋体" w:eastAsia="宋体" w:cs="Times New Roman"/>
                <w:sz w:val="24"/>
                <w14:ligatures w14:val="none"/>
              </w:rPr>
              <w:t>后，采购人</w:t>
            </w:r>
            <w:r>
              <w:rPr>
                <w:rFonts w:hint="eastAsia" w:ascii="宋体" w:hAnsi="宋体" w:eastAsia="宋体" w:cs="Times New Roman"/>
                <w:sz w:val="24"/>
                <w14:ligatures w14:val="none"/>
              </w:rPr>
              <w:t>根据新增需求情况向供应商下达需求实施订单，采购人</w:t>
            </w:r>
            <w:r>
              <w:rPr>
                <w:rFonts w:ascii="宋体" w:hAnsi="宋体" w:eastAsia="宋体" w:cs="Times New Roman"/>
                <w:sz w:val="24"/>
                <w14:ligatures w14:val="none"/>
              </w:rPr>
              <w:t>在收到供应商出具的付款申请及相应金额经采购人认可的合法有效发票之日起</w:t>
            </w:r>
            <w:r>
              <w:rPr>
                <w:rFonts w:hint="eastAsia" w:ascii="宋体" w:hAnsi="宋体" w:eastAsia="宋体" w:cs="Times New Roman"/>
                <w:sz w:val="24"/>
                <w14:ligatures w14:val="none"/>
              </w:rPr>
              <w:t>20个工作</w:t>
            </w:r>
            <w:r>
              <w:rPr>
                <w:rFonts w:ascii="宋体" w:hAnsi="宋体" w:eastAsia="宋体" w:cs="Times New Roman"/>
                <w:sz w:val="24"/>
                <w14:ligatures w14:val="none"/>
              </w:rPr>
              <w:t>日内</w:t>
            </w:r>
          </w:p>
        </w:tc>
        <w:tc>
          <w:tcPr>
            <w:tcW w:w="2373" w:type="dxa"/>
            <w:vAlign w:val="center"/>
          </w:tcPr>
          <w:p w14:paraId="4CAFC697">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付款至订单</w:t>
            </w:r>
            <w:r>
              <w:rPr>
                <w:rFonts w:ascii="宋体" w:hAnsi="宋体" w:eastAsia="宋体" w:cs="Times New Roman"/>
                <w:sz w:val="24"/>
                <w14:ligatures w14:val="none"/>
              </w:rPr>
              <w:t>金额的</w:t>
            </w:r>
            <w:r>
              <w:rPr>
                <w:rFonts w:hint="eastAsia" w:ascii="宋体" w:hAnsi="宋体" w:eastAsia="宋体" w:cs="Times New Roman"/>
                <w:sz w:val="24"/>
                <w14:ligatures w14:val="none"/>
              </w:rPr>
              <w:t>5</w:t>
            </w:r>
            <w:r>
              <w:rPr>
                <w:rFonts w:ascii="宋体" w:hAnsi="宋体" w:eastAsia="宋体" w:cs="Times New Roman"/>
                <w:sz w:val="24"/>
                <w14:ligatures w14:val="none"/>
              </w:rPr>
              <w:t>0%</w:t>
            </w:r>
          </w:p>
        </w:tc>
      </w:tr>
      <w:tr w14:paraId="2146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26" w:type="dxa"/>
            <w:vAlign w:val="center"/>
          </w:tcPr>
          <w:p w14:paraId="44D75869">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2</w:t>
            </w:r>
          </w:p>
        </w:tc>
        <w:tc>
          <w:tcPr>
            <w:tcW w:w="1390" w:type="dxa"/>
            <w:vAlign w:val="center"/>
          </w:tcPr>
          <w:p w14:paraId="5D94813C">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验收款</w:t>
            </w:r>
          </w:p>
        </w:tc>
        <w:tc>
          <w:tcPr>
            <w:tcW w:w="4663" w:type="dxa"/>
            <w:vAlign w:val="center"/>
          </w:tcPr>
          <w:p w14:paraId="2DF62427">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需求通过验收后，采购人自收到供应商出具的付款申请及相应金额经采购人认可的合法有效发票之日起20个工作</w:t>
            </w:r>
            <w:r>
              <w:rPr>
                <w:rFonts w:ascii="宋体" w:hAnsi="宋体" w:eastAsia="宋体" w:cs="Times New Roman"/>
                <w:sz w:val="24"/>
                <w14:ligatures w14:val="none"/>
              </w:rPr>
              <w:t>日内</w:t>
            </w:r>
          </w:p>
        </w:tc>
        <w:tc>
          <w:tcPr>
            <w:tcW w:w="2373" w:type="dxa"/>
            <w:vAlign w:val="center"/>
          </w:tcPr>
          <w:p w14:paraId="57A045D2">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付款至订单</w:t>
            </w:r>
            <w:r>
              <w:rPr>
                <w:rFonts w:ascii="宋体" w:hAnsi="宋体" w:eastAsia="宋体" w:cs="Times New Roman"/>
                <w:sz w:val="24"/>
                <w14:ligatures w14:val="none"/>
              </w:rPr>
              <w:t>金额的</w:t>
            </w:r>
            <w:r>
              <w:rPr>
                <w:rFonts w:hint="eastAsia" w:ascii="宋体" w:hAnsi="宋体" w:eastAsia="宋体" w:cs="Times New Roman"/>
                <w:sz w:val="24"/>
                <w14:ligatures w14:val="none"/>
              </w:rPr>
              <w:t>7</w:t>
            </w:r>
            <w:r>
              <w:rPr>
                <w:rFonts w:ascii="宋体" w:hAnsi="宋体" w:eastAsia="宋体" w:cs="Times New Roman"/>
                <w:sz w:val="24"/>
                <w14:ligatures w14:val="none"/>
              </w:rPr>
              <w:t>0%</w:t>
            </w:r>
          </w:p>
        </w:tc>
      </w:tr>
      <w:tr w14:paraId="7220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526" w:type="dxa"/>
            <w:vAlign w:val="center"/>
          </w:tcPr>
          <w:p w14:paraId="38A51F2D">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3</w:t>
            </w:r>
          </w:p>
        </w:tc>
        <w:tc>
          <w:tcPr>
            <w:tcW w:w="1390" w:type="dxa"/>
            <w:vAlign w:val="center"/>
          </w:tcPr>
          <w:p w14:paraId="6C488F12">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尾</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款</w:t>
            </w:r>
          </w:p>
        </w:tc>
        <w:tc>
          <w:tcPr>
            <w:tcW w:w="4663" w:type="dxa"/>
            <w:vAlign w:val="center"/>
          </w:tcPr>
          <w:p w14:paraId="704E0A0E">
            <w:pPr>
              <w:spacing w:after="0" w:line="240" w:lineRule="auto"/>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维护期结束，供应商提交维护期总结报告并得到采购人书面确认后，采购人收到供应商出具的付款申请及相应金额经采购人认可的合法有效发票之日起20</w:t>
            </w:r>
            <w:r>
              <w:rPr>
                <w:rFonts w:ascii="宋体" w:hAnsi="宋体" w:eastAsia="宋体" w:cs="Times New Roman"/>
                <w:sz w:val="24"/>
                <w14:ligatures w14:val="none"/>
              </w:rPr>
              <w:t>个工作日内</w:t>
            </w:r>
          </w:p>
        </w:tc>
        <w:tc>
          <w:tcPr>
            <w:tcW w:w="2373" w:type="dxa"/>
            <w:vAlign w:val="center"/>
          </w:tcPr>
          <w:p w14:paraId="37F3486C">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付款至订单</w:t>
            </w:r>
            <w:r>
              <w:rPr>
                <w:rFonts w:ascii="宋体" w:hAnsi="宋体" w:eastAsia="宋体" w:cs="Times New Roman"/>
                <w:sz w:val="24"/>
                <w14:ligatures w14:val="none"/>
              </w:rPr>
              <w:t>金额的</w:t>
            </w:r>
            <w:r>
              <w:rPr>
                <w:rFonts w:hint="eastAsia" w:ascii="宋体" w:hAnsi="宋体" w:eastAsia="宋体" w:cs="Times New Roman"/>
                <w:sz w:val="24"/>
                <w14:ligatures w14:val="none"/>
              </w:rPr>
              <w:t>10</w:t>
            </w:r>
            <w:r>
              <w:rPr>
                <w:rFonts w:ascii="宋体" w:hAnsi="宋体" w:eastAsia="宋体" w:cs="Times New Roman"/>
                <w:sz w:val="24"/>
                <w14:ligatures w14:val="none"/>
              </w:rPr>
              <w:t>0%</w:t>
            </w:r>
          </w:p>
        </w:tc>
      </w:tr>
    </w:tbl>
    <w:p w14:paraId="0153BF9F">
      <w:pPr>
        <w:spacing w:after="0" w:line="360" w:lineRule="auto"/>
        <w:ind w:left="440" w:leftChars="200" w:firstLine="200"/>
        <w:jc w:val="both"/>
        <w:rPr>
          <w:rFonts w:hint="eastAsia" w:ascii="宋体" w:hAnsi="宋体" w:eastAsia="宋体" w:cs="Times New Roman"/>
          <w:sz w:val="24"/>
          <w14:ligatures w14:val="none"/>
        </w:rPr>
      </w:pPr>
    </w:p>
    <w:p w14:paraId="3A06F6F4">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21" w:name="_Toc21273"/>
      <w:r>
        <w:rPr>
          <w:rFonts w:hint="eastAsia" w:ascii="宋体" w:hAnsi="宋体" w:eastAsia="宋体" w:cs="Times New Roman"/>
          <w:b/>
          <w:bCs/>
          <w:sz w:val="24"/>
          <w14:ligatures w14:val="none"/>
        </w:rPr>
        <w:t>十</w:t>
      </w:r>
      <w:r>
        <w:rPr>
          <w:rFonts w:ascii="宋体" w:hAnsi="宋体" w:eastAsia="宋体" w:cs="Times New Roman"/>
          <w:b/>
          <w:bCs/>
          <w:sz w:val="24"/>
          <w14:ligatures w14:val="none"/>
        </w:rPr>
        <w:t>、履约验收方案</w:t>
      </w:r>
      <w:bookmarkEnd w:id="19"/>
      <w:bookmarkEnd w:id="20"/>
      <w:bookmarkEnd w:id="21"/>
    </w:p>
    <w:p w14:paraId="17CF8D16">
      <w:p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（一）履约验收的主体、时间、程序</w:t>
      </w:r>
    </w:p>
    <w:p w14:paraId="5F9F72AF">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1</w:t>
      </w:r>
      <w:r>
        <w:rPr>
          <w:rFonts w:ascii="宋体" w:hAnsi="宋体" w:eastAsia="宋体" w:cs="Times New Roman"/>
          <w:sz w:val="24"/>
          <w14:ligatures w14:val="none"/>
        </w:rPr>
        <w:t>.验收主体</w:t>
      </w:r>
    </w:p>
    <w:p w14:paraId="2C837B73">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ascii="宋体" w:hAnsi="宋体" w:eastAsia="宋体" w:cs="Times New Roman"/>
          <w:sz w:val="24"/>
          <w14:ligatures w14:val="none"/>
        </w:rPr>
        <w:t>采购人组织验收。</w:t>
      </w:r>
    </w:p>
    <w:p w14:paraId="50C18AE2">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2.验收</w:t>
      </w:r>
      <w:r>
        <w:rPr>
          <w:rFonts w:ascii="宋体" w:hAnsi="宋体" w:eastAsia="宋体" w:cs="Times New Roman"/>
          <w:sz w:val="24"/>
          <w14:ligatures w14:val="none"/>
        </w:rPr>
        <w:t>时间</w:t>
      </w:r>
      <w:r>
        <w:rPr>
          <w:rFonts w:hint="eastAsia" w:ascii="宋体" w:hAnsi="宋体" w:eastAsia="宋体" w:cs="Times New Roman"/>
          <w:sz w:val="24"/>
          <w14:ligatures w14:val="none"/>
        </w:rPr>
        <w:t>及程序</w:t>
      </w:r>
    </w:p>
    <w:p w14:paraId="3C9670A9">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（1）模拟仿真验证部分</w:t>
      </w:r>
    </w:p>
    <w:p w14:paraId="69B71267">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完成两轮次模拟仿真验证，进出口银行组织验收。</w:t>
      </w:r>
    </w:p>
    <w:p w14:paraId="7AAFF94E">
      <w:pPr>
        <w:widowControl/>
        <w:numPr>
          <w:ilvl w:val="0"/>
          <w:numId w:val="10"/>
        </w:numPr>
        <w:adjustRightInd w:val="0"/>
        <w:spacing w:after="0" w:line="360" w:lineRule="auto"/>
        <w:ind w:firstLine="480" w:firstLineChars="200"/>
        <w:jc w:val="both"/>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新增需求实施部分</w:t>
      </w:r>
    </w:p>
    <w:p w14:paraId="7A558968">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完成新增需求涉及系统投产上线完成并稳定运行满3个月，各项功能满足验收标准，进出口银行组织验收。</w:t>
      </w:r>
    </w:p>
    <w:p w14:paraId="447408A7">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仿宋_GB2312"/>
          <w:sz w:val="24"/>
          <w14:ligatures w14:val="none"/>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658C568A">
      <w:pPr>
        <w:numPr>
          <w:ilvl w:val="0"/>
          <w:numId w:val="11"/>
        </w:num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履约验收内容和标准</w:t>
      </w:r>
    </w:p>
    <w:p w14:paraId="718211F5">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按计划完成模拟仿真验证工作。如涉及新增需求实施，供应商应严格按实施计划完成设计、开发、测试、投产等各阶段内容，并确保项目总体目标。</w:t>
      </w:r>
    </w:p>
    <w:p w14:paraId="21B9CD2C">
      <w:pPr>
        <w:spacing w:after="0" w:line="360" w:lineRule="auto"/>
        <w:ind w:firstLine="200"/>
        <w:jc w:val="both"/>
        <w:rPr>
          <w:rFonts w:hint="eastAsia" w:ascii="宋体" w:hAnsi="宋体" w:eastAsia="宋体" w:cs="仿宋_GB2312"/>
          <w:sz w:val="24"/>
          <w14:ligatures w14:val="none"/>
        </w:rPr>
      </w:pPr>
      <w:bookmarkStart w:id="22" w:name="_Toc20402"/>
      <w:bookmarkStart w:id="23" w:name="_Toc6272"/>
      <w:r>
        <w:rPr>
          <w:rFonts w:hint="eastAsia" w:ascii="宋体" w:hAnsi="宋体" w:eastAsia="宋体" w:cs="仿宋_GB2312"/>
          <w:sz w:val="24"/>
          <w14:ligatures w14:val="none"/>
        </w:rPr>
        <w:t>1.验收内容</w:t>
      </w:r>
    </w:p>
    <w:p w14:paraId="0FC7F0A3">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（1）交付件，包括文档资料、源代码等</w:t>
      </w:r>
    </w:p>
    <w:p w14:paraId="703620F1">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（2）改造的物理子系统应用软件（如有新增需求实施）</w:t>
      </w:r>
    </w:p>
    <w:p w14:paraId="7942B1CB">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（3）以量化的SLA考核指标为依据，对供应商服务及项目完成情况进行量化评价</w:t>
      </w:r>
    </w:p>
    <w:p w14:paraId="4BC3681E">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2.验收标准</w:t>
      </w:r>
    </w:p>
    <w:p w14:paraId="01F48AB8">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（1）文档验收标准</w:t>
      </w:r>
    </w:p>
    <w:p w14:paraId="652919DA">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文档内容应包含对应工作阶段的所有工作任务的最终成果</w:t>
      </w:r>
    </w:p>
    <w:p w14:paraId="339E6C86">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文档内容无重大分歧，进出口银行能够接受文档中的主要观点、认可文档中所体现的工作成果</w:t>
      </w:r>
    </w:p>
    <w:p w14:paraId="012013F3">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所有正式交付件表达清晰、内容完整，符合采购人要求。交付文档的描述不存在实质性的错误（包括不真实、遗漏、误差、以及对使用者可能产生误导的信息）；文字无重大或误导性错误</w:t>
      </w:r>
    </w:p>
    <w:p w14:paraId="0EBA3E21">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文档交付齐备</w:t>
      </w:r>
    </w:p>
    <w:p w14:paraId="0C37BC48">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除特别指明的并经采购人同意的英文提交文档之外，要求提供中文文档</w:t>
      </w:r>
    </w:p>
    <w:p w14:paraId="2ADA5280">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提交项目全部交付件并通过采购人审核，在此基础上形成项目的《交付件交付情况一览表》，经过采购人核对认可</w:t>
      </w:r>
    </w:p>
    <w:p w14:paraId="0609D88C">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（2）系统验收标准</w:t>
      </w:r>
    </w:p>
    <w:p w14:paraId="3C3AD24C">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系统符合项目工作说明书的要求</w:t>
      </w:r>
    </w:p>
    <w:p w14:paraId="727C9D2B">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系统通过用户接收测试，若有遗留问题须在本项目验收启动前解决</w:t>
      </w:r>
    </w:p>
    <w:p w14:paraId="5D4C1E6B">
      <w:pPr>
        <w:numPr>
          <w:ilvl w:val="0"/>
          <w:numId w:val="13"/>
        </w:numPr>
        <w:spacing w:after="0" w:line="36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SLA指标考核</w:t>
      </w:r>
    </w:p>
    <w:p w14:paraId="605EFF69">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本项目发起验收时，进行SLA考核。指标项如下：</w:t>
      </w:r>
    </w:p>
    <w:p w14:paraId="7FCE09C8">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模拟演练验证指标项如下：</w:t>
      </w:r>
    </w:p>
    <w:tbl>
      <w:tblPr>
        <w:tblStyle w:val="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871"/>
        <w:gridCol w:w="1960"/>
        <w:gridCol w:w="4308"/>
        <w:gridCol w:w="876"/>
      </w:tblGrid>
      <w:tr w14:paraId="5F3C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14:paraId="0345051A">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序号</w:t>
            </w:r>
          </w:p>
        </w:tc>
        <w:tc>
          <w:tcPr>
            <w:tcW w:w="513" w:type="pct"/>
            <w:vAlign w:val="center"/>
          </w:tcPr>
          <w:p w14:paraId="06713746">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指标名称</w:t>
            </w:r>
          </w:p>
        </w:tc>
        <w:tc>
          <w:tcPr>
            <w:tcW w:w="1155" w:type="pct"/>
            <w:vAlign w:val="center"/>
          </w:tcPr>
          <w:p w14:paraId="524398D0">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量化标准</w:t>
            </w:r>
          </w:p>
        </w:tc>
        <w:tc>
          <w:tcPr>
            <w:tcW w:w="2538" w:type="pct"/>
            <w:vAlign w:val="center"/>
          </w:tcPr>
          <w:p w14:paraId="7BD80D93">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评估方式</w:t>
            </w:r>
          </w:p>
          <w:p w14:paraId="27115868">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（优100-良80-中60-差0）</w:t>
            </w:r>
          </w:p>
        </w:tc>
        <w:tc>
          <w:tcPr>
            <w:tcW w:w="517" w:type="pct"/>
            <w:vAlign w:val="center"/>
          </w:tcPr>
          <w:p w14:paraId="104662BB">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指标占比</w:t>
            </w:r>
          </w:p>
        </w:tc>
      </w:tr>
      <w:tr w14:paraId="1F3D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14:paraId="4C2A8D81">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1</w:t>
            </w:r>
          </w:p>
        </w:tc>
        <w:tc>
          <w:tcPr>
            <w:tcW w:w="513" w:type="pct"/>
            <w:vAlign w:val="center"/>
          </w:tcPr>
          <w:p w14:paraId="57956621">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本项目进度及计划执行率</w:t>
            </w:r>
          </w:p>
        </w:tc>
        <w:tc>
          <w:tcPr>
            <w:tcW w:w="1155" w:type="pct"/>
            <w:vAlign w:val="center"/>
          </w:tcPr>
          <w:p w14:paraId="077B35FC">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各阶段累计工作延后完成天数/各阶段累计计划天数</w:t>
            </w:r>
          </w:p>
        </w:tc>
        <w:tc>
          <w:tcPr>
            <w:tcW w:w="2538" w:type="pct"/>
            <w:vAlign w:val="center"/>
          </w:tcPr>
          <w:p w14:paraId="397F1B81">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 计划延误率</w:t>
            </w:r>
            <w:r>
              <w:rPr>
                <w:rFonts w:hint="eastAsia" w:ascii="宋体" w:hAnsi="宋体" w:eastAsia="宋体" w:cs="仿宋_GB2312"/>
                <w:kern w:val="0"/>
                <w:sz w:val="24"/>
                <w:szCs w:val="20"/>
                <w14:ligatures w14:val="none"/>
              </w:rPr>
              <w:t>为0</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优</w:t>
            </w:r>
          </w:p>
          <w:p w14:paraId="38534638">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0</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1</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良</w:t>
            </w:r>
          </w:p>
          <w:p w14:paraId="210892BA">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中</w:t>
            </w:r>
          </w:p>
          <w:p w14:paraId="4A5CA868">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3</w:t>
            </w:r>
            <w:r>
              <w:rPr>
                <w:rFonts w:hint="eastAsia" w:ascii="宋体" w:hAnsi="宋体" w:eastAsia="宋体" w:cs="仿宋_GB2312"/>
                <w:kern w:val="0"/>
                <w:sz w:val="24"/>
                <w:szCs w:val="20"/>
                <w:lang w:val="en-GB"/>
                <w14:ligatures w14:val="none"/>
              </w:rPr>
              <w:t xml:space="preserve">%＜计划延误率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差</w:t>
            </w:r>
          </w:p>
        </w:tc>
        <w:tc>
          <w:tcPr>
            <w:tcW w:w="517" w:type="pct"/>
            <w:vAlign w:val="center"/>
          </w:tcPr>
          <w:p w14:paraId="632DE382">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4</w:t>
            </w:r>
            <w:r>
              <w:rPr>
                <w:rFonts w:hint="eastAsia" w:ascii="宋体" w:hAnsi="宋体" w:eastAsia="宋体" w:cs="仿宋_GB2312"/>
                <w:kern w:val="0"/>
                <w:sz w:val="24"/>
                <w:szCs w:val="20"/>
                <w:lang w:val="de-DE"/>
                <w14:ligatures w14:val="none"/>
              </w:rPr>
              <w:t>0%</w:t>
            </w:r>
          </w:p>
        </w:tc>
      </w:tr>
      <w:tr w14:paraId="4622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14:paraId="63CA4488">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w:t>
            </w:r>
          </w:p>
        </w:tc>
        <w:tc>
          <w:tcPr>
            <w:tcW w:w="513" w:type="pct"/>
            <w:vAlign w:val="center"/>
          </w:tcPr>
          <w:p w14:paraId="2AD3E3A5">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问题分析时效</w:t>
            </w:r>
          </w:p>
        </w:tc>
        <w:tc>
          <w:tcPr>
            <w:tcW w:w="1155" w:type="pct"/>
            <w:vAlign w:val="center"/>
          </w:tcPr>
          <w:p w14:paraId="172C920F">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问题定位分析平均天数，即问题解答与提出间隔平均天数</w:t>
            </w:r>
          </w:p>
        </w:tc>
        <w:tc>
          <w:tcPr>
            <w:tcW w:w="2538" w:type="pct"/>
            <w:vAlign w:val="center"/>
          </w:tcPr>
          <w:p w14:paraId="53DE3E22">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问题分析时效平均天数</w:t>
            </w:r>
            <w:r>
              <w:rPr>
                <w:rFonts w:hint="eastAsia" w:ascii="宋体" w:hAnsi="宋体" w:eastAsia="宋体" w:cs="仿宋_GB2312"/>
                <w:kern w:val="0"/>
                <w:sz w:val="24"/>
                <w:szCs w:val="20"/>
                <w:lang w:val="en-GB"/>
                <w14:ligatures w14:val="none"/>
              </w:rPr>
              <w:t>≤</w:t>
            </w:r>
            <w:r>
              <w:rPr>
                <w:rFonts w:ascii="宋体" w:hAnsi="宋体" w:eastAsia="宋体" w:cs="仿宋_GB2312"/>
                <w:kern w:val="0"/>
                <w:sz w:val="24"/>
                <w:szCs w:val="20"/>
                <w:lang w:val="en-GB"/>
                <w14:ligatures w14:val="none"/>
              </w:rPr>
              <w:t>1</w:t>
            </w:r>
            <w:r>
              <w:rPr>
                <w:rFonts w:hint="eastAsia" w:ascii="宋体" w:hAnsi="宋体" w:eastAsia="宋体" w:cs="仿宋_GB2312"/>
                <w:kern w:val="0"/>
                <w:sz w:val="24"/>
                <w:szCs w:val="20"/>
                <w14:ligatures w14:val="none"/>
              </w:rPr>
              <w:t xml:space="preserve">     优</w:t>
            </w:r>
          </w:p>
          <w:p w14:paraId="4228B705">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2. </w:t>
            </w:r>
            <w:r>
              <w:rPr>
                <w:rFonts w:ascii="宋体" w:hAnsi="宋体" w:eastAsia="宋体" w:cs="仿宋_GB2312"/>
                <w:kern w:val="0"/>
                <w:sz w:val="24"/>
                <w:szCs w:val="20"/>
                <w14:ligatures w14:val="none"/>
              </w:rPr>
              <w:t>1</w:t>
            </w:r>
            <w:r>
              <w:rPr>
                <w:rFonts w:hint="eastAsia" w:ascii="宋体" w:hAnsi="宋体" w:eastAsia="宋体" w:cs="仿宋_GB2312"/>
                <w:kern w:val="0"/>
                <w:sz w:val="24"/>
                <w:szCs w:val="20"/>
                <w14:ligatures w14:val="none"/>
              </w:rPr>
              <w:t>&lt;问题分析时效平均天数</w:t>
            </w:r>
            <w:r>
              <w:rPr>
                <w:rFonts w:hint="eastAsia" w:ascii="宋体" w:hAnsi="宋体" w:eastAsia="宋体" w:cs="仿宋_GB2312"/>
                <w:kern w:val="0"/>
                <w:sz w:val="24"/>
                <w:szCs w:val="20"/>
                <w:lang w:val="en-GB"/>
                <w14:ligatures w14:val="none"/>
              </w:rPr>
              <w:t>≤</w:t>
            </w:r>
            <w:r>
              <w:rPr>
                <w:rFonts w:ascii="宋体" w:hAnsi="宋体" w:eastAsia="宋体" w:cs="仿宋_GB2312"/>
                <w:kern w:val="0"/>
                <w:sz w:val="24"/>
                <w:szCs w:val="20"/>
                <w14:ligatures w14:val="none"/>
              </w:rPr>
              <w:t>3</w:t>
            </w:r>
            <w:r>
              <w:rPr>
                <w:rFonts w:hint="eastAsia" w:ascii="宋体" w:hAnsi="宋体" w:eastAsia="宋体" w:cs="仿宋_GB2312"/>
                <w:kern w:val="0"/>
                <w:sz w:val="24"/>
                <w:szCs w:val="20"/>
                <w14:ligatures w14:val="none"/>
              </w:rPr>
              <w:t xml:space="preserve">   良</w:t>
            </w:r>
          </w:p>
          <w:p w14:paraId="1E4B2BAC">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3. </w:t>
            </w:r>
            <w:r>
              <w:rPr>
                <w:rFonts w:ascii="宋体" w:hAnsi="宋体" w:eastAsia="宋体" w:cs="仿宋_GB2312"/>
                <w:kern w:val="0"/>
                <w:sz w:val="24"/>
                <w:szCs w:val="20"/>
                <w14:ligatures w14:val="none"/>
              </w:rPr>
              <w:t>3</w:t>
            </w:r>
            <w:r>
              <w:rPr>
                <w:rFonts w:hint="eastAsia" w:ascii="宋体" w:hAnsi="宋体" w:eastAsia="宋体" w:cs="仿宋_GB2312"/>
                <w:kern w:val="0"/>
                <w:sz w:val="24"/>
                <w:szCs w:val="20"/>
                <w14:ligatures w14:val="none"/>
              </w:rPr>
              <w:t>&lt;问题分析时效平均天数</w:t>
            </w:r>
            <w:r>
              <w:rPr>
                <w:rFonts w:hint="eastAsia" w:ascii="宋体" w:hAnsi="宋体" w:eastAsia="宋体" w:cs="仿宋_GB2312"/>
                <w:kern w:val="0"/>
                <w:sz w:val="24"/>
                <w:szCs w:val="20"/>
                <w:lang w:val="en-GB"/>
                <w14:ligatures w14:val="none"/>
              </w:rPr>
              <w:t>≤</w:t>
            </w:r>
            <w:r>
              <w:rPr>
                <w:rFonts w:ascii="宋体" w:hAnsi="宋体" w:eastAsia="宋体" w:cs="仿宋_GB2312"/>
                <w:kern w:val="0"/>
                <w:sz w:val="24"/>
                <w:szCs w:val="20"/>
                <w14:ligatures w14:val="none"/>
              </w:rPr>
              <w:t>5</w:t>
            </w:r>
            <w:r>
              <w:rPr>
                <w:rFonts w:hint="eastAsia" w:ascii="宋体" w:hAnsi="宋体" w:eastAsia="宋体" w:cs="仿宋_GB2312"/>
                <w:kern w:val="0"/>
                <w:sz w:val="24"/>
                <w:szCs w:val="20"/>
                <w14:ligatures w14:val="none"/>
              </w:rPr>
              <w:t xml:space="preserve">   中</w:t>
            </w:r>
          </w:p>
          <w:p w14:paraId="2941664A">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14:ligatures w14:val="none"/>
              </w:rPr>
              <w:t xml:space="preserve">4. </w:t>
            </w:r>
            <w:r>
              <w:rPr>
                <w:rFonts w:ascii="宋体" w:hAnsi="宋体" w:eastAsia="宋体" w:cs="仿宋_GB2312"/>
                <w:kern w:val="0"/>
                <w:sz w:val="24"/>
                <w:szCs w:val="20"/>
                <w14:ligatures w14:val="none"/>
              </w:rPr>
              <w:t>5</w:t>
            </w:r>
            <w:r>
              <w:rPr>
                <w:rFonts w:hint="eastAsia" w:ascii="宋体" w:hAnsi="宋体" w:eastAsia="宋体" w:cs="仿宋_GB2312"/>
                <w:kern w:val="0"/>
                <w:sz w:val="24"/>
                <w:szCs w:val="20"/>
                <w14:ligatures w14:val="none"/>
              </w:rPr>
              <w:t>&lt;问题分析时效平均天数      差</w:t>
            </w:r>
          </w:p>
        </w:tc>
        <w:tc>
          <w:tcPr>
            <w:tcW w:w="517" w:type="pct"/>
            <w:vAlign w:val="center"/>
          </w:tcPr>
          <w:p w14:paraId="2782FE10">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r>
              <w:rPr>
                <w:rFonts w:hint="eastAsia" w:ascii="宋体" w:hAnsi="宋体" w:eastAsia="宋体" w:cs="仿宋_GB2312"/>
                <w:kern w:val="0"/>
                <w:sz w:val="24"/>
                <w:szCs w:val="20"/>
                <w:lang w:val="de-DE"/>
                <w14:ligatures w14:val="none"/>
              </w:rPr>
              <w:t>%</w:t>
            </w:r>
          </w:p>
        </w:tc>
      </w:tr>
      <w:tr w14:paraId="2658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14:paraId="0F5CDAF0">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w:t>
            </w:r>
          </w:p>
        </w:tc>
        <w:tc>
          <w:tcPr>
            <w:tcW w:w="513" w:type="pct"/>
            <w:vAlign w:val="center"/>
          </w:tcPr>
          <w:p w14:paraId="3DF32369">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问题未解答率</w:t>
            </w:r>
          </w:p>
        </w:tc>
        <w:tc>
          <w:tcPr>
            <w:tcW w:w="1155" w:type="pct"/>
            <w:vAlign w:val="center"/>
          </w:tcPr>
          <w:p w14:paraId="5448B308">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模拟仿真验证过程中问题未被分析解答累计数量/全部问题数</w:t>
            </w:r>
          </w:p>
        </w:tc>
        <w:tc>
          <w:tcPr>
            <w:tcW w:w="2538" w:type="pct"/>
            <w:vAlign w:val="center"/>
          </w:tcPr>
          <w:p w14:paraId="0EDDA478">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问题未解答率</w:t>
            </w:r>
            <w:r>
              <w:rPr>
                <w:rFonts w:hint="eastAsia" w:ascii="宋体" w:hAnsi="宋体" w:eastAsia="宋体" w:cs="仿宋_GB2312"/>
                <w:kern w:val="0"/>
                <w:sz w:val="24"/>
                <w:szCs w:val="20"/>
                <w:lang w:val="en-GB"/>
                <w14:ligatures w14:val="none"/>
              </w:rPr>
              <w:t>≤0</w:t>
            </w:r>
            <w:r>
              <w:rPr>
                <w:rFonts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优</w:t>
            </w:r>
          </w:p>
          <w:p w14:paraId="0165D89E">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2. 0</w:t>
            </w:r>
            <w:r>
              <w:rPr>
                <w:rFonts w:ascii="宋体" w:hAnsi="宋体" w:eastAsia="宋体" w:cs="仿宋_GB2312"/>
                <w:kern w:val="0"/>
                <w:sz w:val="24"/>
                <w:szCs w:val="20"/>
                <w14:ligatures w14:val="none"/>
              </w:rPr>
              <w:t>%</w:t>
            </w:r>
            <w:r>
              <w:rPr>
                <w:rFonts w:hint="eastAsia" w:ascii="宋体" w:hAnsi="宋体" w:eastAsia="宋体" w:cs="仿宋_GB2312"/>
                <w:kern w:val="0"/>
                <w:sz w:val="24"/>
                <w:szCs w:val="20"/>
                <w14:ligatures w14:val="none"/>
              </w:rPr>
              <w:t>&lt;问题未解答率</w:t>
            </w:r>
            <w:r>
              <w:rPr>
                <w:rFonts w:hint="eastAsia" w:ascii="宋体" w:hAnsi="宋体" w:eastAsia="宋体" w:cs="仿宋_GB2312"/>
                <w:kern w:val="0"/>
                <w:sz w:val="24"/>
                <w:szCs w:val="20"/>
                <w:lang w:val="en-GB"/>
                <w14:ligatures w14:val="none"/>
              </w:rPr>
              <w:t>≤5</w:t>
            </w:r>
            <w:r>
              <w:rPr>
                <w:rFonts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良</w:t>
            </w:r>
          </w:p>
          <w:p w14:paraId="31B544D3">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3. </w:t>
            </w:r>
            <w:r>
              <w:rPr>
                <w:rFonts w:ascii="宋体" w:hAnsi="宋体" w:eastAsia="宋体" w:cs="仿宋_GB2312"/>
                <w:kern w:val="0"/>
                <w:sz w:val="24"/>
                <w:szCs w:val="20"/>
                <w14:ligatures w14:val="none"/>
              </w:rPr>
              <w:t>5%</w:t>
            </w:r>
            <w:r>
              <w:rPr>
                <w:rFonts w:hint="eastAsia" w:ascii="宋体" w:hAnsi="宋体" w:eastAsia="宋体" w:cs="仿宋_GB2312"/>
                <w:kern w:val="0"/>
                <w:sz w:val="24"/>
                <w:szCs w:val="20"/>
                <w14:ligatures w14:val="none"/>
              </w:rPr>
              <w:t>&lt;问题未解答率</w:t>
            </w:r>
            <w:r>
              <w:rPr>
                <w:rFonts w:hint="eastAsia" w:ascii="宋体" w:hAnsi="宋体" w:eastAsia="宋体" w:cs="仿宋_GB2312"/>
                <w:kern w:val="0"/>
                <w:sz w:val="24"/>
                <w:szCs w:val="20"/>
                <w:lang w:val="en-GB"/>
                <w14:ligatures w14:val="none"/>
              </w:rPr>
              <w:t>≤1</w:t>
            </w:r>
            <w:r>
              <w:rPr>
                <w:rFonts w:ascii="宋体" w:hAnsi="宋体" w:eastAsia="宋体" w:cs="仿宋_GB2312"/>
                <w:kern w:val="0"/>
                <w:sz w:val="24"/>
                <w:szCs w:val="20"/>
                <w:lang w:val="en-GB"/>
                <w14:ligatures w14:val="none"/>
              </w:rPr>
              <w:t>0%</w:t>
            </w:r>
            <w:r>
              <w:rPr>
                <w:rFonts w:hint="eastAsia" w:ascii="宋体" w:hAnsi="宋体" w:eastAsia="宋体" w:cs="仿宋_GB2312"/>
                <w:kern w:val="0"/>
                <w:sz w:val="24"/>
                <w:szCs w:val="20"/>
                <w14:ligatures w14:val="none"/>
              </w:rPr>
              <w:t xml:space="preserve"> 中</w:t>
            </w:r>
          </w:p>
          <w:p w14:paraId="6D5AFFCC">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4. </w:t>
            </w:r>
            <w:r>
              <w:rPr>
                <w:rFonts w:ascii="宋体" w:hAnsi="宋体" w:eastAsia="宋体" w:cs="仿宋_GB2312"/>
                <w:kern w:val="0"/>
                <w:sz w:val="24"/>
                <w:szCs w:val="20"/>
                <w14:ligatures w14:val="none"/>
              </w:rPr>
              <w:t>10%</w:t>
            </w:r>
            <w:r>
              <w:rPr>
                <w:rFonts w:hint="eastAsia" w:ascii="宋体" w:hAnsi="宋体" w:eastAsia="宋体" w:cs="仿宋_GB2312"/>
                <w:kern w:val="0"/>
                <w:sz w:val="24"/>
                <w:szCs w:val="20"/>
                <w14:ligatures w14:val="none"/>
              </w:rPr>
              <w:t>&lt;问题未解答率     差</w:t>
            </w:r>
          </w:p>
        </w:tc>
        <w:tc>
          <w:tcPr>
            <w:tcW w:w="517" w:type="pct"/>
            <w:vAlign w:val="center"/>
          </w:tcPr>
          <w:p w14:paraId="1A9983FE">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r>
              <w:rPr>
                <w:rFonts w:ascii="宋体" w:hAnsi="宋体" w:eastAsia="宋体" w:cs="仿宋_GB2312"/>
                <w:kern w:val="0"/>
                <w:sz w:val="24"/>
                <w:szCs w:val="20"/>
                <w14:ligatures w14:val="none"/>
              </w:rPr>
              <w:t>%</w:t>
            </w:r>
          </w:p>
        </w:tc>
      </w:tr>
      <w:tr w14:paraId="28CB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78" w:type="pct"/>
            <w:vAlign w:val="center"/>
          </w:tcPr>
          <w:p w14:paraId="18FADE6D">
            <w:pPr>
              <w:widowControl/>
              <w:spacing w:after="0" w:line="240" w:lineRule="auto"/>
              <w:ind w:firstLine="200"/>
              <w:jc w:val="center"/>
              <w:rPr>
                <w:rFonts w:hint="eastAsia" w:ascii="宋体" w:hAnsi="宋体" w:eastAsia="宋体" w:cs="仿宋_GB2312"/>
                <w:kern w:val="0"/>
                <w:sz w:val="24"/>
                <w:szCs w:val="20"/>
                <w14:ligatures w14:val="none"/>
              </w:rPr>
            </w:pPr>
            <w:r>
              <w:rPr>
                <w:rFonts w:ascii="宋体" w:hAnsi="宋体" w:eastAsia="宋体" w:cs="仿宋_GB2312"/>
                <w:kern w:val="0"/>
                <w:sz w:val="24"/>
                <w:szCs w:val="20"/>
                <w14:ligatures w14:val="none"/>
              </w:rPr>
              <w:t>4</w:t>
            </w:r>
          </w:p>
        </w:tc>
        <w:tc>
          <w:tcPr>
            <w:tcW w:w="513" w:type="pct"/>
            <w:vAlign w:val="center"/>
          </w:tcPr>
          <w:p w14:paraId="0D428C62">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异常考勤率</w:t>
            </w:r>
          </w:p>
        </w:tc>
        <w:tc>
          <w:tcPr>
            <w:tcW w:w="1155" w:type="pct"/>
            <w:vAlign w:val="center"/>
          </w:tcPr>
          <w:p w14:paraId="05593B82">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驻场期间异常考勤天数/应出勤天数</w:t>
            </w:r>
          </w:p>
        </w:tc>
        <w:tc>
          <w:tcPr>
            <w:tcW w:w="2538" w:type="pct"/>
            <w:vAlign w:val="center"/>
          </w:tcPr>
          <w:p w14:paraId="753857AA">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1. </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        优</w:t>
            </w:r>
          </w:p>
          <w:p w14:paraId="68F3360E">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10</w:t>
            </w:r>
            <w:r>
              <w:rPr>
                <w:rFonts w:hint="eastAsia" w:ascii="宋体" w:hAnsi="宋体" w:eastAsia="宋体" w:cs="仿宋_GB2312"/>
                <w:kern w:val="0"/>
                <w:sz w:val="24"/>
                <w:szCs w:val="20"/>
                <w:lang w:val="en-GB"/>
                <w14:ligatures w14:val="none"/>
              </w:rPr>
              <w:t>%   良</w:t>
            </w:r>
          </w:p>
          <w:p w14:paraId="725FBF9C">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10</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率≤15%  中</w:t>
            </w:r>
          </w:p>
          <w:p w14:paraId="1A213DB6">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15%＜</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       差</w:t>
            </w:r>
          </w:p>
        </w:tc>
        <w:tc>
          <w:tcPr>
            <w:tcW w:w="517" w:type="pct"/>
            <w:vAlign w:val="center"/>
          </w:tcPr>
          <w:p w14:paraId="3C38C62F">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p>
        </w:tc>
      </w:tr>
      <w:tr w14:paraId="55A3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5"/>
            <w:vAlign w:val="center"/>
          </w:tcPr>
          <w:p w14:paraId="647FB1C0">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说明：问题数量统计以问题跟踪清单数据为依据；考勤率结合采购人外包考勤情况进行计算。</w:t>
            </w:r>
          </w:p>
        </w:tc>
      </w:tr>
    </w:tbl>
    <w:p w14:paraId="57B0C23E">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新增需求实施的SLA指标如下：</w:t>
      </w:r>
    </w:p>
    <w:tbl>
      <w:tblPr>
        <w:tblStyle w:val="4"/>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873"/>
        <w:gridCol w:w="1960"/>
        <w:gridCol w:w="4307"/>
        <w:gridCol w:w="876"/>
      </w:tblGrid>
      <w:tr w14:paraId="4C98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5B03F78D">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序号</w:t>
            </w:r>
          </w:p>
        </w:tc>
        <w:tc>
          <w:tcPr>
            <w:tcW w:w="520" w:type="pct"/>
            <w:vAlign w:val="center"/>
          </w:tcPr>
          <w:p w14:paraId="546708A8">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指标名称</w:t>
            </w:r>
          </w:p>
        </w:tc>
        <w:tc>
          <w:tcPr>
            <w:tcW w:w="1168" w:type="pct"/>
            <w:vAlign w:val="center"/>
          </w:tcPr>
          <w:p w14:paraId="0F69907D">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量化标准</w:t>
            </w:r>
          </w:p>
        </w:tc>
        <w:tc>
          <w:tcPr>
            <w:tcW w:w="2567" w:type="pct"/>
            <w:vAlign w:val="center"/>
          </w:tcPr>
          <w:p w14:paraId="64163F5C">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评估方式</w:t>
            </w:r>
          </w:p>
          <w:p w14:paraId="6162DCAA">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（优100-良80-中60-差0）</w:t>
            </w:r>
          </w:p>
        </w:tc>
        <w:tc>
          <w:tcPr>
            <w:tcW w:w="520" w:type="pct"/>
            <w:vAlign w:val="center"/>
          </w:tcPr>
          <w:p w14:paraId="18DCAF01">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指标占比</w:t>
            </w:r>
          </w:p>
        </w:tc>
      </w:tr>
      <w:tr w14:paraId="303F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32AF1080">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1</w:t>
            </w:r>
          </w:p>
        </w:tc>
        <w:tc>
          <w:tcPr>
            <w:tcW w:w="520" w:type="pct"/>
            <w:vAlign w:val="center"/>
          </w:tcPr>
          <w:p w14:paraId="0CDD4EBA">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本项目进度及计划执行率</w:t>
            </w:r>
          </w:p>
        </w:tc>
        <w:tc>
          <w:tcPr>
            <w:tcW w:w="1168" w:type="pct"/>
            <w:vAlign w:val="center"/>
          </w:tcPr>
          <w:p w14:paraId="53DD0623">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各阶段累计工作延后完成天数/各阶段累计计划天数</w:t>
            </w:r>
          </w:p>
        </w:tc>
        <w:tc>
          <w:tcPr>
            <w:tcW w:w="2567" w:type="pct"/>
            <w:vAlign w:val="center"/>
          </w:tcPr>
          <w:p w14:paraId="4F80E3AA">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 计划延误率</w:t>
            </w:r>
            <w:r>
              <w:rPr>
                <w:rFonts w:hint="eastAsia" w:ascii="宋体" w:hAnsi="宋体" w:eastAsia="宋体" w:cs="仿宋_GB2312"/>
                <w:kern w:val="0"/>
                <w:sz w:val="24"/>
                <w:szCs w:val="20"/>
                <w14:ligatures w14:val="none"/>
              </w:rPr>
              <w:t>为0</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优</w:t>
            </w:r>
          </w:p>
          <w:p w14:paraId="53823C78">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0</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1</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良</w:t>
            </w:r>
          </w:p>
          <w:p w14:paraId="13E03B29">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中</w:t>
            </w:r>
          </w:p>
          <w:p w14:paraId="3BA4D2DE">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3</w:t>
            </w:r>
            <w:r>
              <w:rPr>
                <w:rFonts w:hint="eastAsia" w:ascii="宋体" w:hAnsi="宋体" w:eastAsia="宋体" w:cs="仿宋_GB2312"/>
                <w:kern w:val="0"/>
                <w:sz w:val="24"/>
                <w:szCs w:val="20"/>
                <w:lang w:val="en-GB"/>
                <w14:ligatures w14:val="none"/>
              </w:rPr>
              <w:t xml:space="preserve">%＜计划延误率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差</w:t>
            </w:r>
          </w:p>
        </w:tc>
        <w:tc>
          <w:tcPr>
            <w:tcW w:w="520" w:type="pct"/>
            <w:vAlign w:val="center"/>
          </w:tcPr>
          <w:p w14:paraId="774813AF">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4</w:t>
            </w:r>
            <w:r>
              <w:rPr>
                <w:rFonts w:hint="eastAsia" w:ascii="宋体" w:hAnsi="宋体" w:eastAsia="宋体" w:cs="仿宋_GB2312"/>
                <w:kern w:val="0"/>
                <w:sz w:val="24"/>
                <w:szCs w:val="20"/>
                <w:lang w:val="de-DE"/>
                <w14:ligatures w14:val="none"/>
              </w:rPr>
              <w:t>0%</w:t>
            </w:r>
          </w:p>
        </w:tc>
      </w:tr>
      <w:tr w14:paraId="2340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51461F51">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2</w:t>
            </w:r>
          </w:p>
        </w:tc>
        <w:tc>
          <w:tcPr>
            <w:tcW w:w="520" w:type="pct"/>
            <w:vAlign w:val="center"/>
          </w:tcPr>
          <w:p w14:paraId="04F02DE8">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需求</w:t>
            </w:r>
            <w:r>
              <w:rPr>
                <w:rFonts w:hint="eastAsia" w:ascii="宋体" w:hAnsi="宋体" w:eastAsia="宋体" w:cs="仿宋_GB2312"/>
                <w:kern w:val="0"/>
                <w:sz w:val="24"/>
                <w:szCs w:val="20"/>
                <w:lang w:val="de-DE"/>
                <w14:ligatures w14:val="none"/>
              </w:rPr>
              <w:t>投产后问题数量</w:t>
            </w:r>
          </w:p>
        </w:tc>
        <w:tc>
          <w:tcPr>
            <w:tcW w:w="1168" w:type="pct"/>
            <w:vAlign w:val="center"/>
          </w:tcPr>
          <w:p w14:paraId="5A499405">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投产后至验收时累计问题数</w:t>
            </w:r>
          </w:p>
        </w:tc>
        <w:tc>
          <w:tcPr>
            <w:tcW w:w="2567" w:type="pct"/>
            <w:vAlign w:val="center"/>
          </w:tcPr>
          <w:p w14:paraId="24044F35">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月发现问题数&lt;5   优</w:t>
            </w:r>
          </w:p>
          <w:p w14:paraId="4A8E07B2">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2.每100功能点每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月发现问题数&lt;=10 良</w:t>
            </w:r>
          </w:p>
          <w:p w14:paraId="520957A5">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月发现问题数&lt;=15 中</w:t>
            </w:r>
          </w:p>
          <w:p w14:paraId="2ABF453A">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月发现问题数&gt;15  差</w:t>
            </w:r>
          </w:p>
        </w:tc>
        <w:tc>
          <w:tcPr>
            <w:tcW w:w="520" w:type="pct"/>
            <w:vAlign w:val="center"/>
          </w:tcPr>
          <w:p w14:paraId="76890481">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2</w:t>
            </w:r>
            <w:r>
              <w:rPr>
                <w:rFonts w:hint="eastAsia" w:ascii="宋体" w:hAnsi="宋体" w:eastAsia="宋体" w:cs="仿宋_GB2312"/>
                <w:kern w:val="0"/>
                <w:sz w:val="24"/>
                <w:szCs w:val="20"/>
                <w:lang w:val="de-DE"/>
                <w14:ligatures w14:val="none"/>
              </w:rPr>
              <w:t>0%</w:t>
            </w:r>
          </w:p>
        </w:tc>
      </w:tr>
      <w:tr w14:paraId="4180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73711B9F">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w:t>
            </w:r>
          </w:p>
        </w:tc>
        <w:tc>
          <w:tcPr>
            <w:tcW w:w="520" w:type="pct"/>
            <w:vAlign w:val="center"/>
          </w:tcPr>
          <w:p w14:paraId="104AF961">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工单未及时处理率</w:t>
            </w:r>
          </w:p>
        </w:tc>
        <w:tc>
          <w:tcPr>
            <w:tcW w:w="1168" w:type="pct"/>
            <w:vAlign w:val="center"/>
          </w:tcPr>
          <w:p w14:paraId="3ACF14D5">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工单处理时长超一个月工单数量/总工单数量</w:t>
            </w:r>
          </w:p>
        </w:tc>
        <w:tc>
          <w:tcPr>
            <w:tcW w:w="2567" w:type="pct"/>
            <w:vAlign w:val="center"/>
          </w:tcPr>
          <w:p w14:paraId="0E8FC31E">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工单未及时处理率</w:t>
            </w:r>
            <w:r>
              <w:rPr>
                <w:rFonts w:hint="eastAsia" w:ascii="宋体" w:hAnsi="宋体" w:eastAsia="宋体" w:cs="仿宋_GB2312"/>
                <w:kern w:val="0"/>
                <w:sz w:val="24"/>
                <w:szCs w:val="20"/>
                <w:lang w:val="en-GB"/>
                <w14:ligatures w14:val="none"/>
              </w:rPr>
              <w:t>≤0%</w:t>
            </w:r>
            <w:r>
              <w:rPr>
                <w:rFonts w:hint="eastAsia" w:ascii="宋体" w:hAnsi="宋体" w:eastAsia="宋体" w:cs="仿宋_GB2312"/>
                <w:kern w:val="0"/>
                <w:sz w:val="24"/>
                <w:szCs w:val="20"/>
                <w14:ligatures w14:val="none"/>
              </w:rPr>
              <w:t xml:space="preserve">     优</w:t>
            </w:r>
          </w:p>
          <w:p w14:paraId="4E2C3D96">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 0%&lt;工单未及时处理率</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良</w:t>
            </w:r>
          </w:p>
          <w:p w14:paraId="2C80BC48">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 5%&lt;工单未及时处理率</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15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中</w:t>
            </w:r>
          </w:p>
          <w:p w14:paraId="5642DE85">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4. 15%&lt;工单未及时处理率     差</w:t>
            </w:r>
          </w:p>
        </w:tc>
        <w:tc>
          <w:tcPr>
            <w:tcW w:w="520" w:type="pct"/>
            <w:vAlign w:val="center"/>
          </w:tcPr>
          <w:p w14:paraId="14F3176A">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10%</w:t>
            </w:r>
          </w:p>
        </w:tc>
      </w:tr>
      <w:tr w14:paraId="0D0A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3" w:type="pct"/>
            <w:vAlign w:val="center"/>
          </w:tcPr>
          <w:p w14:paraId="492E5757">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4</w:t>
            </w:r>
          </w:p>
        </w:tc>
        <w:tc>
          <w:tcPr>
            <w:tcW w:w="520" w:type="pct"/>
            <w:vAlign w:val="center"/>
          </w:tcPr>
          <w:p w14:paraId="6A9A7181">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异常考勤率</w:t>
            </w:r>
          </w:p>
        </w:tc>
        <w:tc>
          <w:tcPr>
            <w:tcW w:w="1168" w:type="pct"/>
            <w:vAlign w:val="center"/>
          </w:tcPr>
          <w:p w14:paraId="705ABC4B">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驻场期间异常考勤天数/应出勤天数</w:t>
            </w:r>
          </w:p>
        </w:tc>
        <w:tc>
          <w:tcPr>
            <w:tcW w:w="2567" w:type="pct"/>
            <w:vAlign w:val="center"/>
          </w:tcPr>
          <w:p w14:paraId="360DA6B6">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1. </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        优</w:t>
            </w:r>
          </w:p>
          <w:p w14:paraId="0547DD47">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10</w:t>
            </w:r>
            <w:r>
              <w:rPr>
                <w:rFonts w:hint="eastAsia" w:ascii="宋体" w:hAnsi="宋体" w:eastAsia="宋体" w:cs="仿宋_GB2312"/>
                <w:kern w:val="0"/>
                <w:sz w:val="24"/>
                <w:szCs w:val="20"/>
                <w:lang w:val="en-GB"/>
                <w14:ligatures w14:val="none"/>
              </w:rPr>
              <w:t>%   良</w:t>
            </w:r>
          </w:p>
          <w:p w14:paraId="6A8F8795">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10</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率≤15%  中</w:t>
            </w:r>
          </w:p>
          <w:p w14:paraId="08F4E27E">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15%＜</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       差</w:t>
            </w:r>
          </w:p>
        </w:tc>
        <w:tc>
          <w:tcPr>
            <w:tcW w:w="520" w:type="pct"/>
            <w:vAlign w:val="center"/>
          </w:tcPr>
          <w:p w14:paraId="6705E2B4">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10%</w:t>
            </w:r>
          </w:p>
        </w:tc>
      </w:tr>
      <w:tr w14:paraId="5269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000" w:type="pct"/>
            <w:gridSpan w:val="5"/>
            <w:vAlign w:val="center"/>
          </w:tcPr>
          <w:p w14:paraId="1C067445">
            <w:pPr>
              <w:widowControl/>
              <w:tabs>
                <w:tab w:val="left" w:pos="2252"/>
              </w:tabs>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说明：功能点情况和数量随报价文件一并提供，应与工作量评估底稿一致；考勤率结合采购人外包考勤情况进行计算。</w:t>
            </w:r>
          </w:p>
        </w:tc>
      </w:tr>
    </w:tbl>
    <w:p w14:paraId="7D5B6239">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根据SLA最后得分情况，划分为四个等级： </w:t>
      </w:r>
    </w:p>
    <w:p w14:paraId="3C078C6D">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SLA&gt;=95的为优；</w:t>
      </w:r>
    </w:p>
    <w:p w14:paraId="1B847100">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SLA在80-95的为良；SLA在60-80的为中；</w:t>
      </w:r>
    </w:p>
    <w:p w14:paraId="5DD4C2C7">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SLA&lt;60的为差。</w:t>
      </w:r>
    </w:p>
    <w:p w14:paraId="2618F640">
      <w:p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bookmarkStart w:id="24" w:name="_Toc7716"/>
      <w:r>
        <w:rPr>
          <w:rFonts w:hint="eastAsia" w:ascii="宋体" w:hAnsi="宋体" w:eastAsia="宋体" w:cs="楷体_GB2312"/>
          <w:b/>
          <w:bCs/>
          <w:sz w:val="24"/>
          <w14:ligatures w14:val="none"/>
        </w:rPr>
        <w:t>（三）违约责任</w:t>
      </w:r>
      <w:bookmarkEnd w:id="24"/>
    </w:p>
    <w:p w14:paraId="782E41A3">
      <w:pPr>
        <w:spacing w:after="0" w:line="360" w:lineRule="auto"/>
        <w:ind w:firstLine="480" w:firstLineChars="200"/>
        <w:rPr>
          <w:rFonts w:hint="eastAsia" w:ascii="宋体" w:hAnsi="宋体" w:eastAsia="宋体" w:cs="仿宋_GB2312"/>
          <w:sz w:val="24"/>
          <w14:ligatures w14:val="none"/>
        </w:rPr>
      </w:pPr>
      <w:r>
        <w:rPr>
          <w:rFonts w:hint="eastAsia" w:ascii="宋体" w:hAnsi="宋体" w:eastAsia="宋体" w:cs="仿宋_GB2312"/>
          <w:sz w:val="24"/>
          <w14:ligatures w14:val="none"/>
        </w:rPr>
        <w:t>1.供应商在合同签署后，需要按项目计划完成项目工作。如因供应商原因导致未能按期完成，将按照每逾期一日，扣除“合同价款”的千分之五（5‰）。</w:t>
      </w:r>
    </w:p>
    <w:p w14:paraId="1F54FBEE">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2.SLA考核的罚则。</w:t>
      </w:r>
    </w:p>
    <w:p w14:paraId="114F30A6">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（1）SLA考核为良：约谈公司高管，提出服务质量保障具体措施并限期落实；</w:t>
      </w:r>
    </w:p>
    <w:p w14:paraId="0A8B98B9">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（2）SLA考核为中：约谈公司高管，提出服务质量保障具体措施并限期落实，从本次付款起每期付款顺次延迟半年支付，如有多次延迟的，延迟期限叠加。</w:t>
      </w:r>
    </w:p>
    <w:p w14:paraId="1F82A10A">
      <w:pPr>
        <w:spacing w:after="0" w:line="360" w:lineRule="auto"/>
        <w:ind w:firstLine="480" w:firstLineChars="200"/>
        <w:rPr>
          <w:rFonts w:hint="eastAsia" w:ascii="宋体" w:hAnsi="宋体" w:eastAsia="宋体" w:cs="仿宋_GB2312"/>
          <w:sz w:val="24"/>
          <w14:ligatures w14:val="none"/>
        </w:rPr>
      </w:pPr>
      <w:r>
        <w:rPr>
          <w:rFonts w:hint="eastAsia" w:ascii="宋体" w:hAnsi="宋体" w:eastAsia="宋体" w:cs="仿宋_GB2312"/>
          <w:sz w:val="24"/>
          <w14:ligatures w14:val="none"/>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bookmarkEnd w:id="22"/>
    <w:bookmarkEnd w:id="23"/>
    <w:p w14:paraId="0C76834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450E"/>
    <w:multiLevelType w:val="singleLevel"/>
    <w:tmpl w:val="8036450E"/>
    <w:lvl w:ilvl="0" w:tentative="0">
      <w:start w:val="1"/>
      <w:numFmt w:val="chineseCounting"/>
      <w:suff w:val="nothing"/>
      <w:lvlText w:val="（%1）"/>
      <w:lvlJc w:val="left"/>
      <w:rPr>
        <w:rFonts w:hint="eastAsia"/>
      </w:rPr>
    </w:lvl>
  </w:abstractNum>
  <w:abstractNum w:abstractNumId="1">
    <w:nsid w:val="84DF962B"/>
    <w:multiLevelType w:val="singleLevel"/>
    <w:tmpl w:val="84DF962B"/>
    <w:lvl w:ilvl="0" w:tentative="0">
      <w:start w:val="2"/>
      <w:numFmt w:val="chineseCounting"/>
      <w:suff w:val="nothing"/>
      <w:lvlText w:val="（%1）"/>
      <w:lvlJc w:val="left"/>
      <w:rPr>
        <w:rFonts w:hint="eastAsia"/>
      </w:rPr>
    </w:lvl>
  </w:abstractNum>
  <w:abstractNum w:abstractNumId="2">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3">
    <w:nsid w:val="B1903D33"/>
    <w:multiLevelType w:val="singleLevel"/>
    <w:tmpl w:val="B1903D33"/>
    <w:lvl w:ilvl="0" w:tentative="0">
      <w:start w:val="1"/>
      <w:numFmt w:val="chineseCounting"/>
      <w:suff w:val="nothing"/>
      <w:lvlText w:val="（%1）"/>
      <w:lvlJc w:val="left"/>
      <w:rPr>
        <w:rFonts w:hint="eastAsia"/>
      </w:rPr>
    </w:lvl>
  </w:abstractNum>
  <w:abstractNum w:abstractNumId="4">
    <w:nsid w:val="C484F922"/>
    <w:multiLevelType w:val="singleLevel"/>
    <w:tmpl w:val="C484F922"/>
    <w:lvl w:ilvl="0" w:tentative="0">
      <w:start w:val="2"/>
      <w:numFmt w:val="chineseCounting"/>
      <w:suff w:val="nothing"/>
      <w:lvlText w:val="（%1）"/>
      <w:lvlJc w:val="left"/>
      <w:rPr>
        <w:rFonts w:hint="eastAsia"/>
      </w:rPr>
    </w:lvl>
  </w:abstractNum>
  <w:abstractNum w:abstractNumId="5">
    <w:nsid w:val="D52FB898"/>
    <w:multiLevelType w:val="singleLevel"/>
    <w:tmpl w:val="D52FB898"/>
    <w:lvl w:ilvl="0" w:tentative="0">
      <w:start w:val="2"/>
      <w:numFmt w:val="decimal"/>
      <w:suff w:val="nothing"/>
      <w:lvlText w:val="（%1）"/>
      <w:lvlJc w:val="left"/>
    </w:lvl>
  </w:abstractNum>
  <w:abstractNum w:abstractNumId="6">
    <w:nsid w:val="E60D9477"/>
    <w:multiLevelType w:val="singleLevel"/>
    <w:tmpl w:val="E60D9477"/>
    <w:lvl w:ilvl="0" w:tentative="0">
      <w:start w:val="2"/>
      <w:numFmt w:val="chineseCounting"/>
      <w:suff w:val="nothing"/>
      <w:lvlText w:val="%1、"/>
      <w:lvlJc w:val="left"/>
      <w:rPr>
        <w:rFonts w:hint="eastAsia"/>
      </w:rPr>
    </w:lvl>
  </w:abstractNum>
  <w:abstractNum w:abstractNumId="7">
    <w:nsid w:val="FB123A50"/>
    <w:multiLevelType w:val="singleLevel"/>
    <w:tmpl w:val="FB123A50"/>
    <w:lvl w:ilvl="0" w:tentative="0">
      <w:start w:val="9"/>
      <w:numFmt w:val="chineseCounting"/>
      <w:suff w:val="nothing"/>
      <w:lvlText w:val="%1、"/>
      <w:lvlJc w:val="left"/>
      <w:rPr>
        <w:rFonts w:hint="eastAsia"/>
      </w:rPr>
    </w:lvl>
  </w:abstractNum>
  <w:abstractNum w:abstractNumId="8">
    <w:nsid w:val="4F3B93A5"/>
    <w:multiLevelType w:val="singleLevel"/>
    <w:tmpl w:val="4F3B93A5"/>
    <w:lvl w:ilvl="0" w:tentative="0">
      <w:start w:val="3"/>
      <w:numFmt w:val="chineseCounting"/>
      <w:suff w:val="nothing"/>
      <w:lvlText w:val="%1、"/>
      <w:lvlJc w:val="left"/>
      <w:rPr>
        <w:rFonts w:hint="eastAsia"/>
      </w:rPr>
    </w:lvl>
  </w:abstractNum>
  <w:abstractNum w:abstractNumId="9">
    <w:nsid w:val="58599E33"/>
    <w:multiLevelType w:val="singleLevel"/>
    <w:tmpl w:val="58599E33"/>
    <w:lvl w:ilvl="0" w:tentative="0">
      <w:start w:val="3"/>
      <w:numFmt w:val="decimal"/>
      <w:suff w:val="nothing"/>
      <w:lvlText w:val="（%1）"/>
      <w:lvlJc w:val="left"/>
    </w:lvl>
  </w:abstractNum>
  <w:abstractNum w:abstractNumId="10">
    <w:nsid w:val="5AF77033"/>
    <w:multiLevelType w:val="singleLevel"/>
    <w:tmpl w:val="5AF77033"/>
    <w:lvl w:ilvl="0" w:tentative="0">
      <w:start w:val="1"/>
      <w:numFmt w:val="chineseCounting"/>
      <w:suff w:val="nothing"/>
      <w:lvlText w:val="（%1）"/>
      <w:lvlJc w:val="left"/>
      <w:rPr>
        <w:rFonts w:hint="eastAsia"/>
      </w:rPr>
    </w:lvl>
  </w:abstractNum>
  <w:abstractNum w:abstractNumId="11">
    <w:nsid w:val="73942994"/>
    <w:multiLevelType w:val="singleLevel"/>
    <w:tmpl w:val="73942994"/>
    <w:lvl w:ilvl="0" w:tentative="0">
      <w:start w:val="1"/>
      <w:numFmt w:val="bullet"/>
      <w:lvlText w:val=""/>
      <w:lvlJc w:val="left"/>
      <w:pPr>
        <w:ind w:left="1050" w:hanging="420"/>
      </w:pPr>
      <w:rPr>
        <w:rFonts w:hint="default" w:ascii="Wingdings" w:hAnsi="Wingdings"/>
      </w:rPr>
    </w:lvl>
  </w:abstractNum>
  <w:abstractNum w:abstractNumId="12">
    <w:nsid w:val="748C7C57"/>
    <w:multiLevelType w:val="multilevel"/>
    <w:tmpl w:val="748C7C57"/>
    <w:lvl w:ilvl="0" w:tentative="0">
      <w:start w:val="1"/>
      <w:numFmt w:val="chineseCountingThousand"/>
      <w:lvlText w:val="第%1部分"/>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4"/>
  </w:num>
  <w:num w:numId="2">
    <w:abstractNumId w:val="6"/>
  </w:num>
  <w:num w:numId="3">
    <w:abstractNumId w:val="2"/>
  </w:num>
  <w:num w:numId="4">
    <w:abstractNumId w:val="8"/>
  </w:num>
  <w:num w:numId="5">
    <w:abstractNumId w:val="3"/>
  </w:num>
  <w:num w:numId="6">
    <w:abstractNumId w:val="12"/>
    <w:lvlOverride w:ilvl="2">
      <w:lvl w:ilvl="2" w:tentative="1">
        <w:start w:val="1"/>
        <w:numFmt w:val="decimal"/>
        <w:isLgl/>
        <w:lvlText w:val="%1.%2.%3"/>
        <w:lvlJc w:val="left"/>
        <w:pPr>
          <w:ind w:left="720" w:hanging="720"/>
        </w:pPr>
        <w:rPr>
          <w:rFonts w:hint="eastAsia"/>
          <w:lang w:val="en-US"/>
        </w:rPr>
      </w:lvl>
    </w:lvlOverride>
  </w:num>
  <w:num w:numId="7">
    <w:abstractNumId w:val="0"/>
  </w:num>
  <w:num w:numId="8">
    <w:abstractNumId w:val="7"/>
  </w:num>
  <w:num w:numId="9">
    <w:abstractNumId w:val="10"/>
  </w:num>
  <w:num w:numId="10">
    <w:abstractNumId w:val="5"/>
  </w:num>
  <w:num w:numId="11">
    <w:abstractNumId w:val="1"/>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D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basedOn w:val="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2026-03-13T10:00:39Z</dcterms:created>
  <dc:creator>31369</dc:creator>
  <cp:lastModifiedBy>罗雨锋</cp:lastModifiedBy>
  <dcterms:modified xsi:type="dcterms:W3CDTF">2026-03-13T10:01:53Z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51095C8403DA43D59F7EA5673F52E392_12</vt:lpwstr>
  </property>
</Properties>
</file>