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FB63A">
      <w:pPr>
        <w:keepNext/>
        <w:keepLines/>
        <w:adjustRightInd w:val="0"/>
        <w:spacing w:line="360" w:lineRule="auto"/>
        <w:ind w:firstLine="482" w:firstLineChars="200"/>
        <w:textAlignment w:val="baseline"/>
        <w:outlineLvl w:val="0"/>
        <w:rPr>
          <w:rFonts w:hint="eastAsia" w:ascii="宋体" w:hAnsi="宋体"/>
          <w:b/>
          <w:bCs/>
          <w:sz w:val="24"/>
        </w:rPr>
      </w:pPr>
      <w:bookmarkStart w:id="0" w:name="_Toc13475"/>
      <w:bookmarkStart w:id="1" w:name="_Toc27128"/>
      <w:bookmarkStart w:id="2" w:name="_Toc11491"/>
      <w:r>
        <w:rPr>
          <w:rFonts w:ascii="宋体" w:hAnsi="宋体"/>
          <w:b/>
          <w:bCs/>
          <w:sz w:val="24"/>
        </w:rPr>
        <w:t>一、</w:t>
      </w:r>
      <w:bookmarkEnd w:id="0"/>
      <w:r>
        <w:rPr>
          <w:rFonts w:ascii="宋体" w:hAnsi="宋体"/>
          <w:b/>
          <w:bCs/>
          <w:sz w:val="24"/>
        </w:rPr>
        <w:t>项目介绍</w:t>
      </w:r>
      <w:bookmarkEnd w:id="1"/>
      <w:bookmarkEnd w:id="2"/>
    </w:p>
    <w:p w14:paraId="714EA815">
      <w:pPr>
        <w:keepNext/>
        <w:keepLines/>
        <w:adjustRightInd w:val="0"/>
        <w:spacing w:line="360" w:lineRule="auto"/>
        <w:ind w:left="482"/>
        <w:textAlignment w:val="baseline"/>
        <w:outlineLvl w:val="1"/>
        <w:rPr>
          <w:rFonts w:hint="eastAsia" w:ascii="宋体" w:hAnsi="宋体" w:cs="楷体_GB2312"/>
          <w:b/>
          <w:bCs/>
          <w:sz w:val="24"/>
        </w:rPr>
      </w:pPr>
      <w:bookmarkStart w:id="3" w:name="_Toc20375"/>
      <w:bookmarkStart w:id="4" w:name="_Toc14418"/>
      <w:r>
        <w:rPr>
          <w:rFonts w:hint="eastAsia" w:ascii="宋体" w:hAnsi="宋体" w:cs="楷体_GB2312"/>
          <w:b/>
          <w:bCs/>
          <w:sz w:val="24"/>
        </w:rPr>
        <w:t>（一）项目背景概述</w:t>
      </w:r>
    </w:p>
    <w:p w14:paraId="719325BC">
      <w:pPr>
        <w:widowControl/>
        <w:adjustRightInd w:val="0"/>
        <w:spacing w:line="360" w:lineRule="auto"/>
        <w:ind w:firstLine="480" w:firstLineChars="200"/>
        <w:jc w:val="left"/>
        <w:textAlignment w:val="baseline"/>
        <w:rPr>
          <w:rFonts w:hint="eastAsia" w:ascii="宋体" w:hAnsi="宋体" w:cs="仿宋_GB2312"/>
          <w:sz w:val="24"/>
        </w:rPr>
      </w:pPr>
      <w:r>
        <w:rPr>
          <w:rFonts w:hint="eastAsia" w:ascii="宋体" w:hAnsi="宋体" w:cs="仿宋_GB2312"/>
          <w:sz w:val="24"/>
        </w:rPr>
        <w:t>2025年12月，人民银行发布《关于做好《金融机构客户受益所有人识别管理办法》实施工作的通知》（银反洗发〔2025〕26号），《金融机构客户受益所有人识别管理办法》将于2026年1月20日起实施，要求义务机构应当将受益所有人识别嵌入非自然人客户尽职调查流程以及名单监测流程，并根据受益所有人信息采集和资料留存要求，在义务机构内部系统设置相关受益所有人信息要素和资料登记、保存、查询和使用功能，需于实施后四个月内完成相关内部系统的改造。</w:t>
      </w:r>
    </w:p>
    <w:p w14:paraId="351BA418">
      <w:pPr>
        <w:widowControl/>
        <w:adjustRightInd w:val="0"/>
        <w:spacing w:line="360" w:lineRule="auto"/>
        <w:ind w:firstLine="480" w:firstLineChars="200"/>
        <w:jc w:val="left"/>
        <w:textAlignment w:val="baseline"/>
        <w:rPr>
          <w:rFonts w:hint="eastAsia" w:ascii="宋体" w:hAnsi="宋体" w:cs="仿宋_GB2312"/>
          <w:color w:val="FF0000"/>
          <w:sz w:val="24"/>
          <w:highlight w:val="yellow"/>
        </w:rPr>
      </w:pPr>
      <w:r>
        <w:rPr>
          <w:rFonts w:hint="eastAsia" w:ascii="宋体" w:hAnsi="宋体" w:cs="仿宋_GB2312"/>
          <w:sz w:val="24"/>
        </w:rPr>
        <w:t>按照监管要求，金融机构应当识别、留存的客户受益所有人信息包括：受益所有人姓名、性别、国籍、出生日期以及身份证件或者身份证明文件的种类、号码、有效期限等受益所有人的身份信息；受益所有权关系类型以及形成时间、终止时间（如有）等受益所有人的权利状况信息。当前采购人联合开发系统仅支持录入受益所有人姓名、身份证件或者身份证明文件的种类、号码、证件到期日等信息，难以满足人行对该项工作的要求。同时，为按人行要求开展客户受益所有人识别、核实、持续识别核实、差异反馈等工作，有效提升采购人客户信息质量和客户反洗钱尽职调查信息准确性，联合开发系统需支持按照业务要求自动发起实时核验和批量核验等功能。</w:t>
      </w:r>
    </w:p>
    <w:p w14:paraId="5681FC9F">
      <w:pPr>
        <w:spacing w:line="360" w:lineRule="auto"/>
        <w:ind w:firstLine="482" w:firstLineChars="200"/>
        <w:rPr>
          <w:rFonts w:hint="eastAsia" w:ascii="宋体" w:hAnsi="宋体" w:cs="楷体_GB2312"/>
          <w:b/>
          <w:bCs/>
          <w:sz w:val="24"/>
        </w:rPr>
      </w:pPr>
      <w:r>
        <w:rPr>
          <w:rFonts w:hint="eastAsia" w:ascii="宋体" w:hAnsi="宋体" w:cs="仿宋_GB2312"/>
          <w:b/>
          <w:bCs/>
          <w:sz w:val="24"/>
        </w:rPr>
        <w:t>（二）</w:t>
      </w:r>
      <w:r>
        <w:rPr>
          <w:rFonts w:hint="eastAsia" w:ascii="宋体" w:hAnsi="宋体" w:cs="楷体_GB2312"/>
          <w:b/>
          <w:bCs/>
          <w:sz w:val="24"/>
        </w:rPr>
        <w:t>需求依据和来源</w:t>
      </w:r>
    </w:p>
    <w:p w14:paraId="53C54AD6">
      <w:pPr>
        <w:adjustRightInd w:val="0"/>
        <w:spacing w:line="360" w:lineRule="auto"/>
        <w:ind w:firstLine="480" w:firstLineChars="200"/>
        <w:jc w:val="left"/>
        <w:textAlignment w:val="baseline"/>
        <w:rPr>
          <w:rFonts w:hint="eastAsia" w:ascii="宋体" w:hAnsi="宋体"/>
          <w:sz w:val="24"/>
        </w:rPr>
      </w:pPr>
      <w:r>
        <w:rPr>
          <w:rFonts w:hint="eastAsia" w:ascii="宋体" w:hAnsi="宋体" w:cs="仿宋_GB2312"/>
          <w:sz w:val="24"/>
        </w:rPr>
        <w:t>2025年12月，采购人收到《人民银行《关于做好《金融机构客户受益所有人识别管理办法》实施工作的通知》（银反洗发〔2025〕26号）。</w:t>
      </w:r>
      <w:r>
        <w:rPr>
          <w:rFonts w:hint="eastAsia" w:ascii="宋体" w:hAnsi="宋体" w:cs="仿宋_GB2312"/>
          <w:sz w:val="24"/>
          <w:shd w:val="clear" w:color="auto" w:fill="FFFFFF"/>
        </w:rPr>
        <w:t>2026年1月，我部收到公司业务部最终版业务需求。 </w:t>
      </w:r>
    </w:p>
    <w:p w14:paraId="52D4C856">
      <w:pPr>
        <w:spacing w:line="360" w:lineRule="auto"/>
        <w:ind w:firstLine="482" w:firstLineChars="200"/>
        <w:rPr>
          <w:rFonts w:hint="eastAsia" w:ascii="宋体" w:hAnsi="宋体" w:cs="仿宋_GB2312"/>
          <w:b/>
          <w:bCs/>
          <w:sz w:val="24"/>
        </w:rPr>
      </w:pPr>
      <w:r>
        <w:rPr>
          <w:rFonts w:hint="eastAsia" w:ascii="宋体" w:hAnsi="宋体" w:cs="仿宋_GB2312"/>
          <w:b/>
          <w:bCs/>
          <w:sz w:val="24"/>
        </w:rPr>
        <w:t>（三）功能或目标</w:t>
      </w:r>
    </w:p>
    <w:bookmarkEnd w:id="3"/>
    <w:p w14:paraId="481667DA">
      <w:pPr>
        <w:adjustRightInd w:val="0"/>
        <w:spacing w:line="360" w:lineRule="auto"/>
        <w:ind w:firstLine="480" w:firstLineChars="200"/>
        <w:textAlignment w:val="baseline"/>
        <w:rPr>
          <w:rFonts w:hint="eastAsia" w:ascii="宋体" w:hAnsi="宋体" w:cs="仿宋_GB2312"/>
          <w:sz w:val="24"/>
        </w:rPr>
      </w:pPr>
      <w:bookmarkStart w:id="5" w:name="_Toc16185"/>
      <w:r>
        <w:rPr>
          <w:rFonts w:hint="eastAsia" w:ascii="宋体" w:hAnsi="宋体" w:cs="仿宋_GB2312"/>
          <w:sz w:val="24"/>
        </w:rPr>
        <w:t>本项目内容是根据人民银行要求和业务需求，配合采购人受益所有人信息查询管理系统建设，对已有联合开发系统功能开展配套改造的工作。主要包括：员工渠道整合平台客户信息所有人信息界面新增受益人国籍、出生日期、权利状况信息等字段的查询、新增、修改等功能；单点登录实现受益所有人信息查询管理系统的跳转；客户信息管理系统实现修改客户受益人信息时向受益所有人信息查询管理系统推送相关信息触发单笔核验并接收核验返回结果；客户信息管理系统实现接收并更新在受益所有人信息查询管理系统审批通过的人行备案主体信息及消息中心和事件管理等技术组件的配合改造等。根据采购人业务需求和实际情况，对以上功能升级涉及的联合开发系统相关功能的改造、测试及上线，包括但不限于需求范围内的架构分析、数据迁移、需求分析、开发实施、测试、投产、运行维护等内容。</w:t>
      </w:r>
      <w:r>
        <w:rPr>
          <w:rFonts w:hint="eastAsia" w:ascii="宋体" w:hAnsi="宋体"/>
          <w:sz w:val="24"/>
        </w:rPr>
        <w:t>按采购人计划完成相关系统功能改造并投产上线，</w:t>
      </w:r>
      <w:r>
        <w:rPr>
          <w:rFonts w:hint="eastAsia" w:ascii="宋体" w:hAnsi="宋体" w:cs="仿宋_GB2312"/>
          <w:sz w:val="24"/>
        </w:rPr>
        <w:t>全部需求上线后3个月重保期，重保期结束满12个月且无遗留重大生产事件故障，通过最终验收则项目结束。</w:t>
      </w:r>
    </w:p>
    <w:bookmarkEnd w:id="4"/>
    <w:p w14:paraId="3BE2B951">
      <w:pPr>
        <w:keepNext/>
        <w:keepLines/>
        <w:numPr>
          <w:ilvl w:val="0"/>
          <w:numId w:val="1"/>
        </w:numPr>
        <w:adjustRightInd w:val="0"/>
        <w:spacing w:line="360" w:lineRule="auto"/>
        <w:ind w:firstLine="482" w:firstLineChars="200"/>
        <w:textAlignment w:val="baseline"/>
        <w:outlineLvl w:val="0"/>
        <w:rPr>
          <w:rFonts w:hint="eastAsia" w:ascii="宋体" w:hAnsi="宋体"/>
          <w:b/>
          <w:bCs/>
          <w:sz w:val="24"/>
        </w:rPr>
      </w:pPr>
      <w:bookmarkStart w:id="6" w:name="_Toc2396"/>
      <w:r>
        <w:rPr>
          <w:rFonts w:ascii="宋体" w:hAnsi="宋体"/>
          <w:b/>
          <w:bCs/>
          <w:sz w:val="24"/>
        </w:rPr>
        <w:t>服务一览表</w:t>
      </w:r>
      <w:bookmarkEnd w:id="5"/>
      <w:bookmarkEnd w:id="6"/>
    </w:p>
    <w:p w14:paraId="03EC3484">
      <w:pPr>
        <w:adjustRightInd w:val="0"/>
        <w:spacing w:line="360" w:lineRule="auto"/>
        <w:ind w:firstLine="480" w:firstLineChars="200"/>
        <w:jc w:val="left"/>
        <w:textAlignment w:val="baseline"/>
        <w:rPr>
          <w:rFonts w:hint="eastAsia" w:ascii="宋体" w:hAnsi="宋体" w:cs="仿宋_GB2312"/>
          <w:sz w:val="24"/>
        </w:rPr>
      </w:pPr>
      <w:r>
        <w:rPr>
          <w:rFonts w:hint="eastAsia" w:ascii="宋体" w:hAnsi="宋体" w:cs="仿宋_GB2312"/>
          <w:sz w:val="24"/>
        </w:rPr>
        <w:t>共采购50人月联合开发系统（受益所有人信息查询）配套改造项目开发实施服务，以订单的方式向供应商下单，订单签订后，按照采购人计划完成订单对应的需求上线。具体服务内容包括：</w:t>
      </w:r>
    </w:p>
    <w:tbl>
      <w:tblPr>
        <w:tblStyle w:val="4"/>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27"/>
        <w:gridCol w:w="6821"/>
      </w:tblGrid>
      <w:tr w14:paraId="5E24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2" w:type="dxa"/>
            <w:vMerge w:val="restart"/>
            <w:tcBorders>
              <w:top w:val="single" w:color="auto" w:sz="4" w:space="0"/>
              <w:left w:val="single" w:color="auto" w:sz="4" w:space="0"/>
              <w:right w:val="single" w:color="auto" w:sz="4" w:space="0"/>
            </w:tcBorders>
            <w:vAlign w:val="center"/>
          </w:tcPr>
          <w:p w14:paraId="0C60A0FD">
            <w:pPr>
              <w:jc w:val="center"/>
              <w:rPr>
                <w:rFonts w:hint="eastAsia" w:ascii="宋体" w:hAnsi="宋体" w:cs="黑体"/>
                <w:b/>
                <w:bCs/>
                <w:sz w:val="24"/>
              </w:rPr>
            </w:pPr>
            <w:r>
              <w:rPr>
                <w:rFonts w:hint="eastAsia" w:ascii="宋体" w:hAnsi="宋体" w:cs="黑体"/>
                <w:b/>
                <w:bCs/>
                <w:sz w:val="24"/>
              </w:rPr>
              <w:t>序号</w:t>
            </w:r>
          </w:p>
        </w:tc>
        <w:tc>
          <w:tcPr>
            <w:tcW w:w="1327" w:type="dxa"/>
            <w:vMerge w:val="restart"/>
            <w:tcBorders>
              <w:top w:val="single" w:color="auto" w:sz="4" w:space="0"/>
              <w:left w:val="single" w:color="auto" w:sz="4" w:space="0"/>
              <w:right w:val="single" w:color="auto" w:sz="4" w:space="0"/>
            </w:tcBorders>
            <w:vAlign w:val="center"/>
          </w:tcPr>
          <w:p w14:paraId="720CBD02">
            <w:pPr>
              <w:jc w:val="center"/>
              <w:rPr>
                <w:rFonts w:hint="eastAsia" w:ascii="宋体" w:hAnsi="宋体" w:cs="黑体"/>
                <w:b/>
                <w:bCs/>
                <w:sz w:val="24"/>
              </w:rPr>
            </w:pPr>
            <w:r>
              <w:rPr>
                <w:rFonts w:hint="eastAsia" w:ascii="宋体" w:hAnsi="宋体" w:cs="黑体"/>
                <w:b/>
                <w:bCs/>
                <w:sz w:val="24"/>
              </w:rPr>
              <w:t>服务内容</w:t>
            </w:r>
          </w:p>
        </w:tc>
        <w:tc>
          <w:tcPr>
            <w:tcW w:w="6821" w:type="dxa"/>
            <w:vMerge w:val="restart"/>
            <w:tcBorders>
              <w:top w:val="single" w:color="auto" w:sz="4" w:space="0"/>
              <w:left w:val="single" w:color="auto" w:sz="4" w:space="0"/>
              <w:right w:val="single" w:color="auto" w:sz="4" w:space="0"/>
            </w:tcBorders>
            <w:vAlign w:val="center"/>
          </w:tcPr>
          <w:p w14:paraId="6DBBF148">
            <w:pPr>
              <w:jc w:val="center"/>
              <w:rPr>
                <w:rFonts w:hint="eastAsia" w:ascii="宋体" w:hAnsi="宋体" w:cs="黑体"/>
                <w:b/>
                <w:bCs/>
                <w:sz w:val="24"/>
              </w:rPr>
            </w:pPr>
            <w:r>
              <w:rPr>
                <w:rFonts w:ascii="宋体" w:hAnsi="宋体" w:cs="黑体"/>
                <w:b/>
                <w:bCs/>
                <w:sz w:val="24"/>
              </w:rPr>
              <w:t>主要</w:t>
            </w:r>
            <w:r>
              <w:rPr>
                <w:rFonts w:hint="eastAsia" w:ascii="宋体" w:hAnsi="宋体" w:cs="黑体"/>
                <w:b/>
                <w:bCs/>
                <w:sz w:val="24"/>
              </w:rPr>
              <w:t>工作</w:t>
            </w:r>
          </w:p>
        </w:tc>
      </w:tr>
      <w:tr w14:paraId="13E6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2" w:type="dxa"/>
            <w:vMerge w:val="continue"/>
            <w:tcBorders>
              <w:left w:val="single" w:color="auto" w:sz="4" w:space="0"/>
              <w:bottom w:val="single" w:color="auto" w:sz="4" w:space="0"/>
              <w:right w:val="single" w:color="auto" w:sz="4" w:space="0"/>
            </w:tcBorders>
          </w:tcPr>
          <w:p w14:paraId="30809577">
            <w:pPr>
              <w:jc w:val="center"/>
              <w:rPr>
                <w:rFonts w:hint="eastAsia" w:ascii="宋体" w:hAnsi="宋体"/>
                <w:sz w:val="24"/>
              </w:rPr>
            </w:pPr>
          </w:p>
        </w:tc>
        <w:tc>
          <w:tcPr>
            <w:tcW w:w="1327" w:type="dxa"/>
            <w:vMerge w:val="continue"/>
            <w:tcBorders>
              <w:left w:val="single" w:color="auto" w:sz="4" w:space="0"/>
              <w:bottom w:val="single" w:color="auto" w:sz="4" w:space="0"/>
              <w:right w:val="single" w:color="auto" w:sz="4" w:space="0"/>
            </w:tcBorders>
          </w:tcPr>
          <w:p w14:paraId="4FF2D670">
            <w:pPr>
              <w:jc w:val="center"/>
              <w:rPr>
                <w:rFonts w:hint="eastAsia" w:ascii="宋体" w:hAnsi="宋体"/>
                <w:sz w:val="24"/>
              </w:rPr>
            </w:pPr>
          </w:p>
        </w:tc>
        <w:tc>
          <w:tcPr>
            <w:tcW w:w="6821" w:type="dxa"/>
            <w:vMerge w:val="continue"/>
            <w:tcBorders>
              <w:left w:val="single" w:color="auto" w:sz="4" w:space="0"/>
              <w:bottom w:val="single" w:color="auto" w:sz="4" w:space="0"/>
              <w:right w:val="single" w:color="auto" w:sz="4" w:space="0"/>
            </w:tcBorders>
          </w:tcPr>
          <w:p w14:paraId="32196938">
            <w:pPr>
              <w:jc w:val="center"/>
              <w:rPr>
                <w:rFonts w:hint="eastAsia" w:ascii="宋体" w:hAnsi="宋体"/>
                <w:sz w:val="24"/>
              </w:rPr>
            </w:pPr>
          </w:p>
        </w:tc>
      </w:tr>
      <w:tr w14:paraId="12D5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02" w:type="dxa"/>
            <w:tcBorders>
              <w:top w:val="single" w:color="auto" w:sz="4" w:space="0"/>
              <w:left w:val="single" w:color="auto" w:sz="4" w:space="0"/>
              <w:right w:val="single" w:color="auto" w:sz="4" w:space="0"/>
            </w:tcBorders>
            <w:vAlign w:val="center"/>
          </w:tcPr>
          <w:p w14:paraId="07A5FD31">
            <w:pPr>
              <w:numPr>
                <w:ilvl w:val="0"/>
                <w:numId w:val="2"/>
              </w:numPr>
              <w:ind w:left="0" w:firstLine="0"/>
              <w:jc w:val="center"/>
              <w:rPr>
                <w:rFonts w:hint="eastAsia" w:ascii="宋体" w:hAnsi="宋体"/>
                <w:sz w:val="24"/>
              </w:rPr>
            </w:pPr>
          </w:p>
        </w:tc>
        <w:tc>
          <w:tcPr>
            <w:tcW w:w="1327" w:type="dxa"/>
            <w:tcBorders>
              <w:top w:val="single" w:color="auto" w:sz="4" w:space="0"/>
              <w:left w:val="single" w:color="auto" w:sz="4" w:space="0"/>
              <w:right w:val="single" w:color="auto" w:sz="4" w:space="0"/>
            </w:tcBorders>
            <w:vAlign w:val="center"/>
          </w:tcPr>
          <w:p w14:paraId="05EEEDC3">
            <w:pPr>
              <w:widowControl/>
              <w:jc w:val="center"/>
              <w:rPr>
                <w:rFonts w:hint="eastAsia" w:ascii="宋体" w:hAnsi="宋体" w:cs="仿宋_GB2312"/>
                <w:sz w:val="24"/>
              </w:rPr>
            </w:pPr>
            <w:r>
              <w:rPr>
                <w:rFonts w:hint="eastAsia" w:ascii="宋体" w:hAnsi="宋体" w:cs="仿宋_GB2312"/>
                <w:sz w:val="24"/>
              </w:rPr>
              <w:t>项目管理</w:t>
            </w:r>
          </w:p>
        </w:tc>
        <w:tc>
          <w:tcPr>
            <w:tcW w:w="6821" w:type="dxa"/>
            <w:tcBorders>
              <w:top w:val="single" w:color="auto" w:sz="4" w:space="0"/>
              <w:left w:val="single" w:color="auto" w:sz="4" w:space="0"/>
              <w:right w:val="single" w:color="auto" w:sz="4" w:space="0"/>
            </w:tcBorders>
            <w:vAlign w:val="center"/>
          </w:tcPr>
          <w:p w14:paraId="3A2404B8">
            <w:pPr>
              <w:widowControl/>
              <w:jc w:val="left"/>
              <w:rPr>
                <w:rFonts w:hint="eastAsia" w:ascii="宋体" w:hAnsi="宋体" w:cs="仿宋_GB2312"/>
                <w:sz w:val="24"/>
              </w:rPr>
            </w:pPr>
            <w:r>
              <w:rPr>
                <w:rFonts w:hint="eastAsia" w:ascii="宋体" w:hAnsi="宋体"/>
                <w:sz w:val="24"/>
              </w:rPr>
              <w:t>配合采购人开展以下工作：</w:t>
            </w:r>
            <w:r>
              <w:rPr>
                <w:rFonts w:ascii="宋体" w:hAnsi="宋体"/>
                <w:sz w:val="24"/>
              </w:rPr>
              <w:t>制定项目计划，监督和控制项目进度</w:t>
            </w:r>
            <w:r>
              <w:rPr>
                <w:rFonts w:hint="eastAsia" w:ascii="宋体" w:hAnsi="宋体"/>
                <w:sz w:val="24"/>
              </w:rPr>
              <w:t>；</w:t>
            </w:r>
            <w:r>
              <w:rPr>
                <w:rFonts w:ascii="宋体" w:hAnsi="宋体"/>
                <w:sz w:val="24"/>
              </w:rPr>
              <w:t>负责管理安排项目资源</w:t>
            </w:r>
            <w:r>
              <w:rPr>
                <w:rFonts w:hint="eastAsia" w:ascii="宋体" w:hAnsi="宋体"/>
                <w:sz w:val="24"/>
              </w:rPr>
              <w:t>；开展</w:t>
            </w:r>
            <w:r>
              <w:rPr>
                <w:rFonts w:ascii="宋体" w:hAnsi="宋体"/>
                <w:sz w:val="24"/>
              </w:rPr>
              <w:t>实施项目配置和交付管理以及项目质量管理</w:t>
            </w:r>
            <w:r>
              <w:rPr>
                <w:rFonts w:hint="eastAsia" w:ascii="宋体" w:hAnsi="宋体"/>
                <w:sz w:val="24"/>
              </w:rPr>
              <w:t>；开展</w:t>
            </w:r>
            <w:r>
              <w:rPr>
                <w:rFonts w:ascii="宋体" w:hAnsi="宋体"/>
                <w:sz w:val="24"/>
              </w:rPr>
              <w:t>项目问题管理和项目风险管理</w:t>
            </w:r>
            <w:r>
              <w:rPr>
                <w:rFonts w:hint="eastAsia" w:ascii="宋体" w:hAnsi="宋体"/>
                <w:sz w:val="24"/>
              </w:rPr>
              <w:t>；</w:t>
            </w:r>
            <w:r>
              <w:rPr>
                <w:rFonts w:ascii="宋体" w:hAnsi="宋体"/>
                <w:sz w:val="24"/>
              </w:rPr>
              <w:t>按照要求</w:t>
            </w:r>
            <w:r>
              <w:rPr>
                <w:rFonts w:hint="eastAsia" w:ascii="宋体" w:hAnsi="宋体"/>
                <w:sz w:val="24"/>
              </w:rPr>
              <w:t>定期</w:t>
            </w:r>
            <w:r>
              <w:rPr>
                <w:rFonts w:ascii="宋体" w:hAnsi="宋体"/>
                <w:sz w:val="24"/>
              </w:rPr>
              <w:t>进行工作报告</w:t>
            </w:r>
            <w:r>
              <w:rPr>
                <w:rFonts w:hint="eastAsia" w:ascii="宋体" w:hAnsi="宋体"/>
                <w:sz w:val="24"/>
              </w:rPr>
              <w:t>等</w:t>
            </w:r>
          </w:p>
        </w:tc>
      </w:tr>
      <w:tr w14:paraId="0F78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02" w:type="dxa"/>
            <w:tcBorders>
              <w:left w:val="single" w:color="auto" w:sz="4" w:space="0"/>
              <w:bottom w:val="single" w:color="auto" w:sz="4" w:space="0"/>
              <w:right w:val="single" w:color="auto" w:sz="4" w:space="0"/>
            </w:tcBorders>
            <w:vAlign w:val="center"/>
          </w:tcPr>
          <w:p w14:paraId="2E453759">
            <w:pPr>
              <w:numPr>
                <w:ilvl w:val="0"/>
                <w:numId w:val="2"/>
              </w:numPr>
              <w:ind w:left="0" w:firstLine="0"/>
              <w:jc w:val="center"/>
              <w:rPr>
                <w:rFonts w:hint="eastAsia" w:ascii="宋体" w:hAnsi="宋体"/>
                <w:sz w:val="24"/>
              </w:rPr>
            </w:pPr>
          </w:p>
        </w:tc>
        <w:tc>
          <w:tcPr>
            <w:tcW w:w="1327" w:type="dxa"/>
            <w:tcBorders>
              <w:left w:val="single" w:color="auto" w:sz="4" w:space="0"/>
              <w:bottom w:val="single" w:color="auto" w:sz="4" w:space="0"/>
              <w:right w:val="single" w:color="auto" w:sz="4" w:space="0"/>
            </w:tcBorders>
            <w:vAlign w:val="center"/>
          </w:tcPr>
          <w:p w14:paraId="30691C90">
            <w:pPr>
              <w:widowControl/>
              <w:jc w:val="center"/>
              <w:rPr>
                <w:rFonts w:hint="eastAsia" w:ascii="宋体" w:hAnsi="宋体" w:cs="仿宋_GB2312"/>
                <w:sz w:val="24"/>
              </w:rPr>
            </w:pPr>
            <w:r>
              <w:rPr>
                <w:rFonts w:hint="eastAsia" w:ascii="宋体" w:hAnsi="宋体" w:cs="仿宋_GB2312"/>
                <w:sz w:val="24"/>
              </w:rPr>
              <w:t>需求分析</w:t>
            </w:r>
          </w:p>
        </w:tc>
        <w:tc>
          <w:tcPr>
            <w:tcW w:w="6821" w:type="dxa"/>
            <w:tcBorders>
              <w:left w:val="single" w:color="auto" w:sz="4" w:space="0"/>
              <w:bottom w:val="single" w:color="auto" w:sz="4" w:space="0"/>
              <w:right w:val="single" w:color="auto" w:sz="4" w:space="0"/>
            </w:tcBorders>
            <w:vAlign w:val="center"/>
          </w:tcPr>
          <w:p w14:paraId="4B7981E0">
            <w:pPr>
              <w:widowControl/>
              <w:rPr>
                <w:rFonts w:hint="eastAsia" w:ascii="宋体" w:hAnsi="宋体" w:cs="仿宋_GB2312"/>
                <w:sz w:val="24"/>
              </w:rPr>
            </w:pPr>
            <w:r>
              <w:rPr>
                <w:rFonts w:ascii="宋体" w:hAnsi="宋体" w:cs="仿宋_GB2312"/>
                <w:sz w:val="24"/>
              </w:rPr>
              <w:t>根据</w:t>
            </w:r>
            <w:r>
              <w:rPr>
                <w:rFonts w:hint="eastAsia" w:ascii="宋体" w:hAnsi="宋体" w:cs="仿宋_GB2312"/>
                <w:sz w:val="24"/>
              </w:rPr>
              <w:t>业务要求，梳理转化为业务对系统功能性和非功能性等具体要求，形成需求规格说明书</w:t>
            </w:r>
          </w:p>
        </w:tc>
      </w:tr>
      <w:tr w14:paraId="1639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02" w:type="dxa"/>
            <w:tcBorders>
              <w:left w:val="single" w:color="auto" w:sz="4" w:space="0"/>
              <w:bottom w:val="single" w:color="auto" w:sz="4" w:space="0"/>
              <w:right w:val="single" w:color="auto" w:sz="4" w:space="0"/>
            </w:tcBorders>
            <w:vAlign w:val="center"/>
          </w:tcPr>
          <w:p w14:paraId="14185BEC">
            <w:pPr>
              <w:numPr>
                <w:ilvl w:val="0"/>
                <w:numId w:val="2"/>
              </w:numPr>
              <w:ind w:left="0" w:firstLine="0"/>
              <w:jc w:val="center"/>
              <w:rPr>
                <w:rFonts w:hint="eastAsia" w:ascii="宋体" w:hAnsi="宋体"/>
                <w:sz w:val="24"/>
              </w:rPr>
            </w:pPr>
          </w:p>
        </w:tc>
        <w:tc>
          <w:tcPr>
            <w:tcW w:w="1327" w:type="dxa"/>
            <w:tcBorders>
              <w:left w:val="single" w:color="auto" w:sz="4" w:space="0"/>
              <w:bottom w:val="single" w:color="auto" w:sz="4" w:space="0"/>
              <w:right w:val="single" w:color="auto" w:sz="4" w:space="0"/>
            </w:tcBorders>
            <w:vAlign w:val="center"/>
          </w:tcPr>
          <w:p w14:paraId="058B34AB">
            <w:pPr>
              <w:widowControl/>
              <w:jc w:val="center"/>
              <w:rPr>
                <w:rFonts w:hint="eastAsia" w:ascii="宋体" w:hAnsi="宋体" w:cs="仿宋_GB2312"/>
                <w:sz w:val="24"/>
              </w:rPr>
            </w:pPr>
            <w:r>
              <w:rPr>
                <w:rFonts w:ascii="宋体" w:hAnsi="宋体" w:cs="仿宋_GB2312"/>
                <w:sz w:val="24"/>
              </w:rPr>
              <w:t>设</w:t>
            </w:r>
            <w:r>
              <w:rPr>
                <w:rFonts w:hint="eastAsia" w:ascii="宋体" w:hAnsi="宋体" w:cs="仿宋_GB2312"/>
                <w:sz w:val="24"/>
              </w:rPr>
              <w:t xml:space="preserve">  </w:t>
            </w:r>
            <w:r>
              <w:rPr>
                <w:rFonts w:ascii="宋体" w:hAnsi="宋体" w:cs="仿宋_GB2312"/>
                <w:sz w:val="24"/>
              </w:rPr>
              <w:t>计</w:t>
            </w:r>
          </w:p>
        </w:tc>
        <w:tc>
          <w:tcPr>
            <w:tcW w:w="6821" w:type="dxa"/>
            <w:tcBorders>
              <w:left w:val="single" w:color="auto" w:sz="4" w:space="0"/>
              <w:bottom w:val="single" w:color="auto" w:sz="4" w:space="0"/>
              <w:right w:val="single" w:color="auto" w:sz="4" w:space="0"/>
            </w:tcBorders>
            <w:vAlign w:val="center"/>
          </w:tcPr>
          <w:p w14:paraId="487045FC">
            <w:pPr>
              <w:widowControl/>
              <w:rPr>
                <w:rFonts w:hint="eastAsia" w:ascii="宋体" w:hAnsi="宋体" w:cs="仿宋_GB2312"/>
                <w:sz w:val="24"/>
              </w:rPr>
            </w:pPr>
            <w:r>
              <w:rPr>
                <w:rFonts w:ascii="宋体" w:hAnsi="宋体" w:cs="仿宋_GB2312"/>
                <w:sz w:val="24"/>
              </w:rPr>
              <w:t>完成</w:t>
            </w:r>
            <w:r>
              <w:rPr>
                <w:rFonts w:hint="eastAsia" w:ascii="宋体" w:hAnsi="宋体" w:cs="仿宋_GB2312"/>
                <w:sz w:val="24"/>
              </w:rPr>
              <w:t>相关</w:t>
            </w:r>
            <w:r>
              <w:rPr>
                <w:rFonts w:ascii="宋体" w:hAnsi="宋体" w:cs="仿宋_GB2312"/>
                <w:sz w:val="24"/>
              </w:rPr>
              <w:t>物理子系统的概要设计、详细设计等相关工作，形成相应</w:t>
            </w:r>
            <w:r>
              <w:rPr>
                <w:rFonts w:hint="eastAsia" w:ascii="宋体" w:hAnsi="宋体" w:cs="仿宋_GB2312"/>
                <w:sz w:val="24"/>
              </w:rPr>
              <w:t>设计</w:t>
            </w:r>
            <w:r>
              <w:rPr>
                <w:rFonts w:ascii="宋体" w:hAnsi="宋体" w:cs="仿宋_GB2312"/>
                <w:sz w:val="24"/>
              </w:rPr>
              <w:t>说明书</w:t>
            </w:r>
          </w:p>
        </w:tc>
      </w:tr>
      <w:tr w14:paraId="45C3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2" w:type="dxa"/>
            <w:tcBorders>
              <w:top w:val="single" w:color="auto" w:sz="4" w:space="0"/>
              <w:left w:val="single" w:color="auto" w:sz="4" w:space="0"/>
              <w:right w:val="single" w:color="auto" w:sz="4" w:space="0"/>
            </w:tcBorders>
            <w:vAlign w:val="center"/>
          </w:tcPr>
          <w:p w14:paraId="3BF29403">
            <w:pPr>
              <w:numPr>
                <w:ilvl w:val="0"/>
                <w:numId w:val="2"/>
              </w:numPr>
              <w:ind w:left="0" w:firstLine="0"/>
              <w:jc w:val="center"/>
              <w:rPr>
                <w:rFonts w:hint="eastAsia" w:ascii="宋体" w:hAnsi="宋体"/>
                <w:sz w:val="24"/>
              </w:rPr>
            </w:pPr>
          </w:p>
        </w:tc>
        <w:tc>
          <w:tcPr>
            <w:tcW w:w="1327" w:type="dxa"/>
            <w:tcBorders>
              <w:top w:val="single" w:color="auto" w:sz="4" w:space="0"/>
              <w:left w:val="single" w:color="auto" w:sz="4" w:space="0"/>
              <w:right w:val="single" w:color="auto" w:sz="4" w:space="0"/>
            </w:tcBorders>
            <w:vAlign w:val="center"/>
          </w:tcPr>
          <w:p w14:paraId="64250085">
            <w:pPr>
              <w:widowControl/>
              <w:jc w:val="center"/>
              <w:rPr>
                <w:rFonts w:hint="eastAsia" w:ascii="宋体" w:hAnsi="宋体" w:cs="仿宋_GB2312"/>
                <w:sz w:val="24"/>
              </w:rPr>
            </w:pPr>
            <w:r>
              <w:rPr>
                <w:rFonts w:hint="eastAsia" w:ascii="宋体" w:hAnsi="宋体" w:cs="仿宋_GB2312"/>
                <w:sz w:val="24"/>
              </w:rPr>
              <w:t>开  发</w:t>
            </w:r>
          </w:p>
        </w:tc>
        <w:tc>
          <w:tcPr>
            <w:tcW w:w="6821" w:type="dxa"/>
            <w:tcBorders>
              <w:top w:val="single" w:color="auto" w:sz="4" w:space="0"/>
              <w:left w:val="single" w:color="auto" w:sz="4" w:space="0"/>
              <w:right w:val="single" w:color="auto" w:sz="4" w:space="0"/>
            </w:tcBorders>
            <w:vAlign w:val="center"/>
          </w:tcPr>
          <w:p w14:paraId="7A91C874">
            <w:pPr>
              <w:widowControl/>
              <w:rPr>
                <w:rFonts w:hint="eastAsia" w:ascii="宋体" w:hAnsi="宋体" w:cs="仿宋_GB2312"/>
                <w:sz w:val="24"/>
              </w:rPr>
            </w:pPr>
            <w:r>
              <w:rPr>
                <w:rFonts w:hint="eastAsia" w:ascii="宋体" w:hAnsi="宋体" w:cs="仿宋_GB2312"/>
                <w:sz w:val="24"/>
              </w:rPr>
              <w:t>根据功能设计按计划完成开发，实现设计功能</w:t>
            </w:r>
            <w:r>
              <w:rPr>
                <w:rFonts w:ascii="宋体" w:hAnsi="宋体" w:cs="仿宋_GB2312"/>
                <w:sz w:val="24"/>
              </w:rPr>
              <w:t>，</w:t>
            </w:r>
            <w:r>
              <w:rPr>
                <w:rFonts w:hint="eastAsia" w:ascii="宋体" w:hAnsi="宋体" w:cs="仿宋_GB2312"/>
                <w:sz w:val="24"/>
              </w:rPr>
              <w:t>完成单元测试等工作</w:t>
            </w:r>
          </w:p>
        </w:tc>
      </w:tr>
      <w:tr w14:paraId="40B1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02" w:type="dxa"/>
            <w:tcBorders>
              <w:top w:val="single" w:color="auto" w:sz="4" w:space="0"/>
              <w:left w:val="single" w:color="auto" w:sz="4" w:space="0"/>
              <w:right w:val="single" w:color="auto" w:sz="4" w:space="0"/>
            </w:tcBorders>
            <w:vAlign w:val="center"/>
          </w:tcPr>
          <w:p w14:paraId="0A01E3FF">
            <w:pPr>
              <w:numPr>
                <w:ilvl w:val="0"/>
                <w:numId w:val="2"/>
              </w:numPr>
              <w:ind w:left="0" w:firstLine="0"/>
              <w:jc w:val="center"/>
              <w:rPr>
                <w:rFonts w:hint="eastAsia" w:ascii="宋体" w:hAnsi="宋体"/>
                <w:sz w:val="24"/>
              </w:rPr>
            </w:pPr>
          </w:p>
        </w:tc>
        <w:tc>
          <w:tcPr>
            <w:tcW w:w="1327" w:type="dxa"/>
            <w:tcBorders>
              <w:top w:val="single" w:color="auto" w:sz="4" w:space="0"/>
              <w:left w:val="single" w:color="auto" w:sz="4" w:space="0"/>
              <w:right w:val="single" w:color="auto" w:sz="4" w:space="0"/>
            </w:tcBorders>
            <w:vAlign w:val="center"/>
          </w:tcPr>
          <w:p w14:paraId="059464F0">
            <w:pPr>
              <w:widowControl/>
              <w:jc w:val="center"/>
              <w:rPr>
                <w:rFonts w:hint="eastAsia" w:ascii="宋体" w:hAnsi="宋体" w:cs="仿宋_GB2312"/>
                <w:sz w:val="24"/>
              </w:rPr>
            </w:pPr>
            <w:r>
              <w:rPr>
                <w:rFonts w:hint="eastAsia" w:ascii="宋体" w:hAnsi="宋体" w:cs="仿宋_GB2312"/>
                <w:sz w:val="24"/>
              </w:rPr>
              <w:t>测  试</w:t>
            </w:r>
          </w:p>
        </w:tc>
        <w:tc>
          <w:tcPr>
            <w:tcW w:w="6821" w:type="dxa"/>
            <w:tcBorders>
              <w:top w:val="single" w:color="auto" w:sz="4" w:space="0"/>
              <w:left w:val="single" w:color="auto" w:sz="4" w:space="0"/>
              <w:right w:val="single" w:color="auto" w:sz="4" w:space="0"/>
            </w:tcBorders>
            <w:vAlign w:val="center"/>
          </w:tcPr>
          <w:p w14:paraId="28F1009D">
            <w:pPr>
              <w:widowControl/>
              <w:rPr>
                <w:rFonts w:hint="eastAsia" w:ascii="宋体" w:hAnsi="宋体" w:cs="仿宋_GB2312"/>
                <w:sz w:val="24"/>
              </w:rPr>
            </w:pPr>
            <w:r>
              <w:rPr>
                <w:rFonts w:hint="eastAsia" w:ascii="宋体" w:hAnsi="宋体" w:cs="仿宋_GB2312"/>
                <w:sz w:val="24"/>
              </w:rPr>
              <w:t>开展产品、系统集成等测试工作，包括测试计划、准备和执行，完成测试案例、脚本及数据的编制和准备，及时组织系统修补和必要的回归测试，形成测试报告；协助开展用户验收测试相关工作</w:t>
            </w:r>
          </w:p>
        </w:tc>
      </w:tr>
      <w:tr w14:paraId="5B71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2" w:type="dxa"/>
            <w:tcBorders>
              <w:top w:val="single" w:color="auto" w:sz="4" w:space="0"/>
              <w:left w:val="single" w:color="auto" w:sz="4" w:space="0"/>
              <w:right w:val="single" w:color="auto" w:sz="4" w:space="0"/>
            </w:tcBorders>
            <w:vAlign w:val="center"/>
          </w:tcPr>
          <w:p w14:paraId="6D0CC381">
            <w:pPr>
              <w:numPr>
                <w:ilvl w:val="0"/>
                <w:numId w:val="2"/>
              </w:numPr>
              <w:ind w:left="0" w:firstLine="0"/>
              <w:jc w:val="center"/>
              <w:rPr>
                <w:rFonts w:hint="eastAsia" w:ascii="宋体" w:hAnsi="宋体"/>
                <w:sz w:val="24"/>
              </w:rPr>
            </w:pPr>
          </w:p>
        </w:tc>
        <w:tc>
          <w:tcPr>
            <w:tcW w:w="1327" w:type="dxa"/>
            <w:tcBorders>
              <w:top w:val="single" w:color="auto" w:sz="4" w:space="0"/>
              <w:left w:val="single" w:color="auto" w:sz="4" w:space="0"/>
              <w:right w:val="single" w:color="auto" w:sz="4" w:space="0"/>
            </w:tcBorders>
            <w:vAlign w:val="center"/>
          </w:tcPr>
          <w:p w14:paraId="1DB52A32">
            <w:pPr>
              <w:widowControl/>
              <w:jc w:val="center"/>
              <w:rPr>
                <w:rFonts w:hint="eastAsia" w:ascii="宋体" w:hAnsi="宋体" w:cs="仿宋_GB2312"/>
                <w:sz w:val="24"/>
              </w:rPr>
            </w:pPr>
            <w:r>
              <w:rPr>
                <w:rFonts w:hint="eastAsia" w:ascii="宋体" w:hAnsi="宋体" w:cs="仿宋_GB2312"/>
                <w:sz w:val="24"/>
              </w:rPr>
              <w:t>投产运维</w:t>
            </w:r>
          </w:p>
        </w:tc>
        <w:tc>
          <w:tcPr>
            <w:tcW w:w="6821" w:type="dxa"/>
            <w:tcBorders>
              <w:top w:val="single" w:color="auto" w:sz="4" w:space="0"/>
              <w:left w:val="single" w:color="auto" w:sz="4" w:space="0"/>
              <w:right w:val="single" w:color="auto" w:sz="4" w:space="0"/>
            </w:tcBorders>
            <w:vAlign w:val="center"/>
          </w:tcPr>
          <w:p w14:paraId="4A207D3B">
            <w:pPr>
              <w:widowControl/>
              <w:rPr>
                <w:rFonts w:hint="eastAsia" w:ascii="宋体" w:hAnsi="宋体" w:cs="仿宋_GB2312"/>
                <w:sz w:val="24"/>
              </w:rPr>
            </w:pPr>
            <w:r>
              <w:rPr>
                <w:rFonts w:hint="eastAsia" w:ascii="宋体" w:hAnsi="宋体" w:cs="仿宋_GB2312"/>
                <w:sz w:val="24"/>
              </w:rPr>
              <w:t>为系统投产演练和投产上线等提供必要支持，包括但不限于各类方案计划和流程策略的制定、现场人员支持及运维培训等工作</w:t>
            </w:r>
          </w:p>
        </w:tc>
      </w:tr>
      <w:tr w14:paraId="42EC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2" w:type="dxa"/>
            <w:tcBorders>
              <w:top w:val="single" w:color="auto" w:sz="4" w:space="0"/>
              <w:left w:val="single" w:color="auto" w:sz="4" w:space="0"/>
              <w:right w:val="single" w:color="auto" w:sz="4" w:space="0"/>
            </w:tcBorders>
            <w:vAlign w:val="center"/>
          </w:tcPr>
          <w:p w14:paraId="1D405EA6">
            <w:pPr>
              <w:numPr>
                <w:ilvl w:val="0"/>
                <w:numId w:val="2"/>
              </w:numPr>
              <w:ind w:left="0" w:firstLine="0"/>
              <w:jc w:val="center"/>
              <w:rPr>
                <w:rFonts w:hint="eastAsia" w:ascii="宋体" w:hAnsi="宋体"/>
                <w:sz w:val="24"/>
              </w:rPr>
            </w:pPr>
          </w:p>
        </w:tc>
        <w:tc>
          <w:tcPr>
            <w:tcW w:w="1327" w:type="dxa"/>
            <w:tcBorders>
              <w:top w:val="single" w:color="auto" w:sz="4" w:space="0"/>
              <w:left w:val="single" w:color="auto" w:sz="4" w:space="0"/>
              <w:right w:val="single" w:color="auto" w:sz="4" w:space="0"/>
            </w:tcBorders>
            <w:vAlign w:val="center"/>
          </w:tcPr>
          <w:p w14:paraId="497BB7C2">
            <w:pPr>
              <w:widowControl/>
              <w:jc w:val="center"/>
              <w:rPr>
                <w:rFonts w:hint="eastAsia" w:ascii="宋体" w:hAnsi="宋体" w:cs="仿宋_GB2312"/>
                <w:sz w:val="24"/>
              </w:rPr>
            </w:pPr>
            <w:r>
              <w:rPr>
                <w:rFonts w:hint="eastAsia" w:ascii="宋体" w:hAnsi="宋体" w:cs="仿宋_GB2312"/>
                <w:sz w:val="24"/>
              </w:rPr>
              <w:t>重保期</w:t>
            </w:r>
          </w:p>
        </w:tc>
        <w:tc>
          <w:tcPr>
            <w:tcW w:w="6821" w:type="dxa"/>
            <w:tcBorders>
              <w:top w:val="single" w:color="auto" w:sz="4" w:space="0"/>
              <w:left w:val="single" w:color="auto" w:sz="4" w:space="0"/>
              <w:right w:val="single" w:color="auto" w:sz="4" w:space="0"/>
            </w:tcBorders>
            <w:vAlign w:val="center"/>
          </w:tcPr>
          <w:p w14:paraId="2A4562D2">
            <w:pPr>
              <w:widowControl/>
              <w:rPr>
                <w:rFonts w:hint="eastAsia" w:ascii="宋体" w:hAnsi="宋体" w:cs="仿宋_GB2312"/>
                <w:sz w:val="24"/>
              </w:rPr>
            </w:pPr>
            <w:r>
              <w:rPr>
                <w:rFonts w:hint="eastAsia" w:ascii="宋体" w:hAnsi="宋体" w:cs="仿宋_GB2312"/>
                <w:sz w:val="24"/>
              </w:rPr>
              <w:t>在本项目投产后3个月重保期，安排人员负责本项目开发、改造功能的响应支持、故障修复等工作</w:t>
            </w:r>
          </w:p>
        </w:tc>
      </w:tr>
      <w:tr w14:paraId="4992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02" w:type="dxa"/>
            <w:tcBorders>
              <w:top w:val="single" w:color="auto" w:sz="4" w:space="0"/>
              <w:left w:val="single" w:color="auto" w:sz="4" w:space="0"/>
              <w:right w:val="single" w:color="auto" w:sz="4" w:space="0"/>
            </w:tcBorders>
            <w:vAlign w:val="center"/>
          </w:tcPr>
          <w:p w14:paraId="1587A709">
            <w:pPr>
              <w:numPr>
                <w:ilvl w:val="0"/>
                <w:numId w:val="2"/>
              </w:numPr>
              <w:ind w:left="0" w:firstLine="0"/>
              <w:jc w:val="center"/>
              <w:rPr>
                <w:rFonts w:hint="eastAsia" w:ascii="宋体" w:hAnsi="宋体"/>
                <w:sz w:val="24"/>
              </w:rPr>
            </w:pPr>
          </w:p>
        </w:tc>
        <w:tc>
          <w:tcPr>
            <w:tcW w:w="1327" w:type="dxa"/>
            <w:tcBorders>
              <w:top w:val="single" w:color="auto" w:sz="4" w:space="0"/>
              <w:left w:val="single" w:color="auto" w:sz="4" w:space="0"/>
              <w:right w:val="single" w:color="auto" w:sz="4" w:space="0"/>
            </w:tcBorders>
            <w:vAlign w:val="center"/>
          </w:tcPr>
          <w:p w14:paraId="101FBC05">
            <w:pPr>
              <w:widowControl/>
              <w:jc w:val="center"/>
              <w:rPr>
                <w:rFonts w:hint="eastAsia" w:ascii="宋体" w:hAnsi="宋体" w:cs="仿宋_GB2312"/>
                <w:sz w:val="24"/>
              </w:rPr>
            </w:pPr>
            <w:r>
              <w:rPr>
                <w:rFonts w:hint="eastAsia" w:ascii="宋体" w:hAnsi="宋体" w:cs="仿宋_GB2312"/>
                <w:sz w:val="24"/>
              </w:rPr>
              <w:t>培训及知识转移</w:t>
            </w:r>
          </w:p>
        </w:tc>
        <w:tc>
          <w:tcPr>
            <w:tcW w:w="6821" w:type="dxa"/>
            <w:tcBorders>
              <w:top w:val="single" w:color="auto" w:sz="4" w:space="0"/>
              <w:left w:val="single" w:color="auto" w:sz="4" w:space="0"/>
              <w:right w:val="single" w:color="auto" w:sz="4" w:space="0"/>
            </w:tcBorders>
            <w:vAlign w:val="center"/>
          </w:tcPr>
          <w:p w14:paraId="2C7CC4B0">
            <w:pPr>
              <w:widowControl/>
              <w:rPr>
                <w:rFonts w:hint="eastAsia" w:ascii="宋体" w:hAnsi="宋体"/>
                <w:sz w:val="24"/>
              </w:rPr>
            </w:pPr>
            <w:r>
              <w:rPr>
                <w:rFonts w:hint="eastAsia" w:ascii="宋体" w:hAnsi="宋体" w:cs="仿宋_GB2312"/>
                <w:sz w:val="24"/>
              </w:rPr>
              <w:t>通过必要培训（提供完备的培训材料）使采购人业务及运维等相关人员，以及采购人指定的人员，熟悉系统内容和功能，以及使用权限划分与操作方式，包括系统架构、部署运维、参数配置等内容</w:t>
            </w:r>
          </w:p>
        </w:tc>
      </w:tr>
    </w:tbl>
    <w:p w14:paraId="10C3E5E4">
      <w:pPr>
        <w:keepNext/>
        <w:keepLines/>
        <w:numPr>
          <w:ilvl w:val="0"/>
          <w:numId w:val="3"/>
        </w:numPr>
        <w:adjustRightInd w:val="0"/>
        <w:spacing w:line="360" w:lineRule="auto"/>
        <w:ind w:firstLine="482" w:firstLineChars="200"/>
        <w:textAlignment w:val="baseline"/>
        <w:outlineLvl w:val="0"/>
        <w:rPr>
          <w:rFonts w:hint="eastAsia" w:ascii="宋体" w:hAnsi="宋体"/>
          <w:b/>
          <w:bCs/>
          <w:sz w:val="24"/>
        </w:rPr>
      </w:pPr>
      <w:bookmarkStart w:id="7" w:name="_Toc13559"/>
      <w:bookmarkStart w:id="8" w:name="_Toc628"/>
      <w:r>
        <w:rPr>
          <w:rFonts w:hint="eastAsia" w:ascii="宋体" w:hAnsi="宋体"/>
          <w:b/>
          <w:bCs/>
          <w:sz w:val="24"/>
        </w:rPr>
        <w:t>业务要求</w:t>
      </w:r>
      <w:bookmarkEnd w:id="7"/>
    </w:p>
    <w:p w14:paraId="46571EAA">
      <w:pPr>
        <w:spacing w:line="360" w:lineRule="auto"/>
        <w:ind w:firstLine="480" w:firstLineChars="200"/>
        <w:rPr>
          <w:rFonts w:hint="eastAsia" w:ascii="宋体" w:hAnsi="宋体" w:cs="仿宋_GB2312"/>
          <w:sz w:val="24"/>
        </w:rPr>
      </w:pPr>
      <w:r>
        <w:rPr>
          <w:rFonts w:hint="eastAsia" w:ascii="宋体" w:hAnsi="宋体" w:cs="仿宋_GB2312"/>
          <w:sz w:val="24"/>
        </w:rPr>
        <w:t>按采购人计划完成系统功能改造并投产上线。本项目需完成以下业务需求：可通过员工渠道整合平台单点登录受益所有人信息查询管理系统；客户信息管理系统中增加地址、联系方式、受益人国籍、出生日期、权利状况信息等字段；客户信息管理系统可将相关信息推送受益所有人信息管理系统实现实时核验和批量核验；客户信息可接收受益所有人信息查询管理系统推送的相关信息等业务需求。</w:t>
      </w:r>
    </w:p>
    <w:p w14:paraId="17403A80">
      <w:pPr>
        <w:keepNext/>
        <w:keepLines/>
        <w:numPr>
          <w:ilvl w:val="0"/>
          <w:numId w:val="3"/>
        </w:numPr>
        <w:adjustRightInd w:val="0"/>
        <w:spacing w:line="360" w:lineRule="auto"/>
        <w:ind w:firstLine="482" w:firstLineChars="200"/>
        <w:textAlignment w:val="baseline"/>
        <w:outlineLvl w:val="0"/>
        <w:rPr>
          <w:rFonts w:hint="eastAsia" w:ascii="宋体" w:hAnsi="宋体"/>
          <w:b/>
          <w:bCs/>
          <w:sz w:val="24"/>
        </w:rPr>
      </w:pPr>
      <w:bookmarkStart w:id="9" w:name="_Toc8130"/>
      <w:r>
        <w:rPr>
          <w:rFonts w:hint="eastAsia" w:ascii="宋体" w:hAnsi="宋体"/>
          <w:b/>
          <w:bCs/>
          <w:sz w:val="24"/>
        </w:rPr>
        <w:t>技术要求</w:t>
      </w:r>
      <w:bookmarkEnd w:id="9"/>
    </w:p>
    <w:p w14:paraId="1610F2B4">
      <w:pPr>
        <w:spacing w:line="360" w:lineRule="auto"/>
        <w:ind w:firstLine="480" w:firstLineChars="200"/>
        <w:rPr>
          <w:rFonts w:hint="eastAsia" w:ascii="宋体" w:hAnsi="宋体" w:cs="仿宋_GB2312"/>
          <w:sz w:val="24"/>
        </w:rPr>
      </w:pPr>
      <w:r>
        <w:rPr>
          <w:rFonts w:hint="eastAsia" w:ascii="宋体" w:hAnsi="宋体" w:cs="仿宋_GB2312"/>
          <w:sz w:val="24"/>
        </w:rPr>
        <w:t>在保持现有系统整体架构和稳定运行的基础上，对需求进行合理架构初分，各物理子系统按照需求的关联依赖情况，科学设计系统功能改造方案，确定实施计划安排，确保系统功能切分清晰，底层逻辑准确，业务流程顺畅。</w:t>
      </w:r>
    </w:p>
    <w:p w14:paraId="233BB1B1">
      <w:pPr>
        <w:spacing w:line="360" w:lineRule="auto"/>
        <w:ind w:firstLine="480" w:firstLineChars="200"/>
        <w:rPr>
          <w:rFonts w:hint="eastAsia" w:ascii="宋体" w:hAnsi="宋体" w:cs="仿宋_GB2312"/>
          <w:sz w:val="24"/>
        </w:rPr>
      </w:pPr>
      <w:r>
        <w:rPr>
          <w:rFonts w:hint="eastAsia" w:ascii="宋体" w:hAnsi="宋体" w:cs="仿宋_GB2312"/>
          <w:sz w:val="24"/>
        </w:rPr>
        <w:t>需求涉及系统包括但不限于下表所列物理子系统。</w:t>
      </w:r>
    </w:p>
    <w:tbl>
      <w:tblPr>
        <w:tblStyle w:val="4"/>
        <w:tblW w:w="9722" w:type="dxa"/>
        <w:tblInd w:w="93" w:type="dxa"/>
        <w:shd w:val="clear" w:color="auto" w:fill="FFFFFF"/>
        <w:tblLayout w:type="fixed"/>
        <w:tblCellMar>
          <w:top w:w="0" w:type="dxa"/>
          <w:left w:w="108" w:type="dxa"/>
          <w:bottom w:w="0" w:type="dxa"/>
          <w:right w:w="108" w:type="dxa"/>
        </w:tblCellMar>
      </w:tblPr>
      <w:tblGrid>
        <w:gridCol w:w="509"/>
        <w:gridCol w:w="3039"/>
        <w:gridCol w:w="6174"/>
      </w:tblGrid>
      <w:tr w14:paraId="3D5AFA0A">
        <w:tblPrEx>
          <w:shd w:val="clear" w:color="auto" w:fill="FFFFFF"/>
          <w:tblCellMar>
            <w:top w:w="0" w:type="dxa"/>
            <w:left w:w="108" w:type="dxa"/>
            <w:bottom w:w="0" w:type="dxa"/>
            <w:right w:w="108" w:type="dxa"/>
          </w:tblCellMar>
        </w:tblPrEx>
        <w:trPr>
          <w:trHeight w:val="104" w:hRule="atLeast"/>
          <w:tblHead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CA606">
            <w:pPr>
              <w:widowControl/>
              <w:jc w:val="center"/>
              <w:textAlignment w:val="center"/>
              <w:rPr>
                <w:rFonts w:hint="eastAsia" w:ascii="宋体" w:hAnsi="宋体" w:cs="黑体"/>
                <w:color w:val="000000"/>
                <w:sz w:val="24"/>
              </w:rPr>
            </w:pPr>
            <w:r>
              <w:rPr>
                <w:rFonts w:hint="eastAsia" w:ascii="宋体" w:hAnsi="宋体" w:cs="黑体"/>
                <w:color w:val="000000"/>
                <w:kern w:val="0"/>
                <w:sz w:val="24"/>
                <w:lang w:bidi="ar"/>
              </w:rPr>
              <w:t>序号</w:t>
            </w:r>
          </w:p>
        </w:tc>
        <w:tc>
          <w:tcPr>
            <w:tcW w:w="3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9FC0A">
            <w:pPr>
              <w:widowControl/>
              <w:jc w:val="center"/>
              <w:textAlignment w:val="center"/>
              <w:rPr>
                <w:rFonts w:hint="eastAsia" w:ascii="宋体" w:hAnsi="宋体" w:cs="黑体"/>
                <w:color w:val="000000"/>
                <w:sz w:val="24"/>
              </w:rPr>
            </w:pPr>
            <w:r>
              <w:rPr>
                <w:rFonts w:hint="eastAsia" w:ascii="宋体" w:hAnsi="宋体" w:cs="黑体"/>
                <w:color w:val="000000"/>
                <w:kern w:val="0"/>
                <w:sz w:val="24"/>
                <w:lang w:bidi="ar"/>
              </w:rPr>
              <w:t>需求简称</w:t>
            </w:r>
          </w:p>
        </w:tc>
        <w:tc>
          <w:tcPr>
            <w:tcW w:w="6174" w:type="dxa"/>
            <w:tcBorders>
              <w:top w:val="single" w:color="000000" w:sz="4" w:space="0"/>
              <w:left w:val="single" w:color="000000" w:sz="4" w:space="0"/>
              <w:bottom w:val="nil"/>
              <w:right w:val="single" w:color="000000" w:sz="4" w:space="0"/>
            </w:tcBorders>
            <w:shd w:val="clear" w:color="auto" w:fill="FFFFFF"/>
            <w:vAlign w:val="center"/>
          </w:tcPr>
          <w:p w14:paraId="71E6C686">
            <w:pPr>
              <w:widowControl/>
              <w:jc w:val="center"/>
              <w:textAlignment w:val="center"/>
              <w:rPr>
                <w:rFonts w:hint="eastAsia" w:ascii="宋体" w:hAnsi="宋体" w:cs="黑体"/>
                <w:color w:val="000000"/>
                <w:sz w:val="24"/>
              </w:rPr>
            </w:pPr>
            <w:r>
              <w:rPr>
                <w:rFonts w:hint="eastAsia" w:ascii="宋体" w:hAnsi="宋体" w:cs="黑体"/>
                <w:color w:val="000000"/>
                <w:kern w:val="0"/>
                <w:sz w:val="24"/>
                <w:lang w:bidi="ar"/>
              </w:rPr>
              <w:t>配合代码改造物理子系统</w:t>
            </w:r>
          </w:p>
        </w:tc>
      </w:tr>
      <w:tr w14:paraId="4833A1F1">
        <w:tblPrEx>
          <w:tblCellMar>
            <w:top w:w="0" w:type="dxa"/>
            <w:left w:w="108" w:type="dxa"/>
            <w:bottom w:w="0" w:type="dxa"/>
            <w:right w:w="108" w:type="dxa"/>
          </w:tblCellMar>
        </w:tblPrEx>
        <w:trPr>
          <w:trHeight w:val="784" w:hRule="atLeast"/>
        </w:trPr>
        <w:tc>
          <w:tcPr>
            <w:tcW w:w="509" w:type="dxa"/>
            <w:tcBorders>
              <w:top w:val="single" w:color="auto" w:sz="4" w:space="0"/>
              <w:left w:val="single" w:color="000000" w:sz="4" w:space="0"/>
              <w:bottom w:val="single" w:color="auto" w:sz="4" w:space="0"/>
              <w:right w:val="single" w:color="auto" w:sz="4" w:space="0"/>
            </w:tcBorders>
            <w:shd w:val="clear" w:color="auto" w:fill="FFFFFF"/>
            <w:vAlign w:val="center"/>
          </w:tcPr>
          <w:p w14:paraId="6637391B">
            <w:pPr>
              <w:widowControl/>
              <w:jc w:val="center"/>
              <w:textAlignment w:val="center"/>
              <w:rPr>
                <w:rFonts w:hint="eastAsia" w:ascii="宋体" w:hAnsi="宋体" w:cs="仿宋_GB2312"/>
                <w:color w:val="000000"/>
                <w:sz w:val="24"/>
              </w:rPr>
            </w:pPr>
            <w:bookmarkStart w:id="10" w:name="_Toc13752"/>
            <w:r>
              <w:rPr>
                <w:rFonts w:hint="eastAsia" w:ascii="宋体" w:hAnsi="宋体" w:cs="仿宋_GB2312"/>
                <w:color w:val="000000"/>
                <w:sz w:val="24"/>
              </w:rPr>
              <w:t>1</w:t>
            </w:r>
          </w:p>
        </w:tc>
        <w:tc>
          <w:tcPr>
            <w:tcW w:w="3039" w:type="dxa"/>
            <w:tcBorders>
              <w:top w:val="single" w:color="auto" w:sz="4" w:space="0"/>
              <w:left w:val="single" w:color="auto" w:sz="4" w:space="0"/>
              <w:bottom w:val="single" w:color="auto" w:sz="4" w:space="0"/>
              <w:right w:val="single" w:color="auto" w:sz="4" w:space="0"/>
            </w:tcBorders>
            <w:shd w:val="clear" w:color="auto" w:fill="FFFFFF"/>
            <w:vAlign w:val="center"/>
          </w:tcPr>
          <w:p w14:paraId="6F96BB17">
            <w:pPr>
              <w:widowControl/>
              <w:jc w:val="center"/>
              <w:textAlignment w:val="center"/>
              <w:rPr>
                <w:rFonts w:hint="eastAsia" w:ascii="宋体" w:hAnsi="宋体" w:cs="仿宋_GB2312"/>
                <w:color w:val="000000"/>
                <w:sz w:val="24"/>
              </w:rPr>
            </w:pPr>
            <w:r>
              <w:rPr>
                <w:rFonts w:hint="eastAsia" w:ascii="宋体" w:hAnsi="宋体" w:cs="仿宋_GB2312"/>
                <w:color w:val="000000"/>
                <w:sz w:val="24"/>
              </w:rPr>
              <w:t>接入受益所有人信息查询管理系统业务需求书</w:t>
            </w:r>
          </w:p>
        </w:tc>
        <w:tc>
          <w:tcPr>
            <w:tcW w:w="6174" w:type="dxa"/>
            <w:tcBorders>
              <w:top w:val="single" w:color="auto" w:sz="4" w:space="0"/>
              <w:left w:val="single" w:color="auto" w:sz="4" w:space="0"/>
              <w:bottom w:val="single" w:color="auto" w:sz="4" w:space="0"/>
              <w:right w:val="single" w:color="auto" w:sz="4" w:space="0"/>
            </w:tcBorders>
            <w:shd w:val="clear" w:color="auto" w:fill="FFFFFF"/>
            <w:vAlign w:val="center"/>
          </w:tcPr>
          <w:p w14:paraId="04944BFB">
            <w:pPr>
              <w:widowControl/>
              <w:jc w:val="left"/>
              <w:textAlignment w:val="center"/>
              <w:rPr>
                <w:rFonts w:hint="eastAsia" w:ascii="宋体" w:hAnsi="宋体" w:cs="仿宋_GB2312"/>
                <w:color w:val="000000"/>
                <w:sz w:val="24"/>
              </w:rPr>
            </w:pPr>
            <w:r>
              <w:rPr>
                <w:rFonts w:hint="eastAsia" w:ascii="宋体" w:hAnsi="宋体" w:cs="仿宋_GB2312"/>
                <w:color w:val="000000"/>
                <w:kern w:val="0"/>
                <w:sz w:val="24"/>
                <w:lang w:bidi="ar"/>
              </w:rPr>
              <w:t>客户信息管理、</w:t>
            </w:r>
            <w:r>
              <w:rPr>
                <w:rFonts w:hint="eastAsia" w:ascii="宋体" w:hAnsi="宋体" w:cs="仿宋_GB2312"/>
                <w:color w:val="000000"/>
                <w:sz w:val="24"/>
              </w:rPr>
              <w:t>员工渠道整合平台、应用调度平台、消息中心、事件管理、短信银行、统一通讯、用户认证、企业数据仓库</w:t>
            </w:r>
          </w:p>
        </w:tc>
      </w:tr>
    </w:tbl>
    <w:p w14:paraId="7FD87882">
      <w:pPr>
        <w:keepNext/>
        <w:keepLines/>
        <w:numPr>
          <w:ilvl w:val="0"/>
          <w:numId w:val="3"/>
        </w:numPr>
        <w:adjustRightInd w:val="0"/>
        <w:spacing w:line="360" w:lineRule="auto"/>
        <w:ind w:firstLine="482" w:firstLineChars="200"/>
        <w:textAlignment w:val="baseline"/>
        <w:outlineLvl w:val="0"/>
        <w:rPr>
          <w:rFonts w:hint="eastAsia" w:ascii="宋体" w:hAnsi="宋体"/>
          <w:b/>
          <w:bCs/>
          <w:sz w:val="24"/>
        </w:rPr>
      </w:pPr>
      <w:r>
        <w:rPr>
          <w:rFonts w:hint="eastAsia" w:ascii="宋体" w:hAnsi="宋体"/>
          <w:b/>
          <w:bCs/>
          <w:sz w:val="24"/>
        </w:rPr>
        <w:t>服务要求</w:t>
      </w:r>
      <w:bookmarkEnd w:id="8"/>
      <w:bookmarkEnd w:id="10"/>
    </w:p>
    <w:p w14:paraId="2E940AE3">
      <w:pPr>
        <w:adjustRightInd w:val="0"/>
        <w:spacing w:line="360" w:lineRule="auto"/>
        <w:ind w:firstLine="482" w:firstLineChars="200"/>
        <w:jc w:val="left"/>
        <w:rPr>
          <w:rFonts w:hint="eastAsia" w:ascii="宋体" w:hAnsi="宋体" w:cs="楷体_GB2312"/>
          <w:b/>
          <w:bCs/>
          <w:sz w:val="24"/>
        </w:rPr>
      </w:pPr>
      <w:r>
        <w:rPr>
          <w:rFonts w:hint="eastAsia" w:ascii="宋体" w:hAnsi="宋体" w:cs="楷体_GB2312"/>
          <w:b/>
          <w:bCs/>
          <w:sz w:val="24"/>
        </w:rPr>
        <w:t>（一）服务要求</w:t>
      </w:r>
    </w:p>
    <w:p w14:paraId="00728374">
      <w:pPr>
        <w:spacing w:line="360" w:lineRule="auto"/>
        <w:ind w:firstLine="480" w:firstLineChars="200"/>
        <w:rPr>
          <w:rFonts w:hint="eastAsia" w:ascii="宋体" w:hAnsi="宋体" w:cs="仿宋_GB2312"/>
          <w:sz w:val="24"/>
        </w:rPr>
      </w:pPr>
      <w:bookmarkStart w:id="11" w:name="_Toc36545096"/>
      <w:r>
        <w:rPr>
          <w:rFonts w:hint="eastAsia" w:ascii="宋体" w:hAnsi="宋体" w:cs="仿宋_GB2312"/>
          <w:sz w:val="24"/>
        </w:rPr>
        <w:t>1.总体要求</w:t>
      </w:r>
    </w:p>
    <w:p w14:paraId="4429BC93">
      <w:pPr>
        <w:spacing w:line="360" w:lineRule="auto"/>
        <w:ind w:firstLine="480" w:firstLineChars="200"/>
        <w:rPr>
          <w:rFonts w:hint="eastAsia" w:ascii="宋体" w:hAnsi="宋体"/>
          <w:sz w:val="24"/>
        </w:rPr>
      </w:pPr>
      <w:r>
        <w:rPr>
          <w:rFonts w:hint="eastAsia" w:ascii="宋体" w:hAnsi="宋体" w:cs="仿宋_GB2312"/>
          <w:sz w:val="24"/>
        </w:rPr>
        <w:t>供应商应向采购人提供客户化软件及项目涉及的已有系统中客户化部分的目标程序及全部源代码，以及为实现项目需求引入的产品软件的目标程序及全部源代码。提供方式由双方协商确认。</w:t>
      </w:r>
    </w:p>
    <w:p w14:paraId="10343F87">
      <w:pPr>
        <w:spacing w:line="360" w:lineRule="auto"/>
        <w:ind w:firstLine="480" w:firstLineChars="200"/>
        <w:rPr>
          <w:rFonts w:hint="eastAsia" w:ascii="宋体" w:hAnsi="宋体" w:cs="仿宋_GB2312"/>
          <w:sz w:val="24"/>
        </w:rPr>
      </w:pPr>
      <w:r>
        <w:rPr>
          <w:rFonts w:hint="eastAsia" w:ascii="宋体" w:hAnsi="宋体" w:cs="仿宋_GB2312"/>
          <w:sz w:val="24"/>
        </w:rPr>
        <w:t>保证能够满足项目实施全生命周期中对开发、测试的要求，并支持通过开发实现对未来业务和技术功能的扩展。</w:t>
      </w:r>
    </w:p>
    <w:p w14:paraId="3F75E11B">
      <w:pPr>
        <w:widowControl/>
        <w:spacing w:line="360" w:lineRule="auto"/>
        <w:ind w:firstLine="480" w:firstLineChars="200"/>
        <w:jc w:val="left"/>
        <w:rPr>
          <w:rFonts w:hint="eastAsia" w:ascii="宋体" w:hAnsi="宋体" w:cs="仿宋_GB2312"/>
          <w:sz w:val="24"/>
        </w:rPr>
      </w:pPr>
      <w:r>
        <w:rPr>
          <w:rFonts w:ascii="宋体" w:hAnsi="宋体"/>
          <w:sz w:val="24"/>
        </w:rPr>
        <w:t>为项目配备具有相关资质、技能和经验的技术服务人员，提供所需的信息技术服务。</w:t>
      </w:r>
      <w:r>
        <w:rPr>
          <w:rFonts w:hint="eastAsia" w:ascii="宋体" w:hAnsi="宋体" w:cs="仿宋_GB2312"/>
          <w:sz w:val="24"/>
        </w:rPr>
        <w:t>在人员供给方面，应高效及时提供满足采购人要求的高质量人力资源，并且公司应该具备此类人力资源的储备，保证满足采购人业务需求的开发质量及时间要求。在人员稳定性方面，应有效保障服务队伍的稳定性，以确保服务质量。在人员培训方面，应定期对服务人员进行内部培训，以使人员不断补充提高服务技能。</w:t>
      </w:r>
    </w:p>
    <w:bookmarkEnd w:id="11"/>
    <w:p w14:paraId="28499217">
      <w:pPr>
        <w:widowControl/>
        <w:spacing w:line="360" w:lineRule="auto"/>
        <w:ind w:firstLine="480" w:firstLineChars="200"/>
        <w:jc w:val="left"/>
        <w:rPr>
          <w:rFonts w:hint="eastAsia" w:ascii="宋体" w:hAnsi="宋体"/>
          <w:sz w:val="24"/>
        </w:rPr>
      </w:pPr>
      <w:r>
        <w:rPr>
          <w:rFonts w:ascii="宋体" w:hAnsi="宋体"/>
          <w:sz w:val="24"/>
        </w:rPr>
        <w:t>供应商通过电话、电子邮件、传真等</w:t>
      </w:r>
      <w:r>
        <w:rPr>
          <w:rFonts w:hint="eastAsia" w:ascii="宋体" w:hAnsi="宋体"/>
          <w:sz w:val="24"/>
        </w:rPr>
        <w:t>可能必要</w:t>
      </w:r>
      <w:r>
        <w:rPr>
          <w:rFonts w:ascii="宋体" w:hAnsi="宋体"/>
          <w:sz w:val="24"/>
        </w:rPr>
        <w:t>方式向</w:t>
      </w:r>
      <w:r>
        <w:rPr>
          <w:rFonts w:hint="eastAsia" w:ascii="宋体" w:hAnsi="宋体"/>
          <w:sz w:val="24"/>
        </w:rPr>
        <w:t>采购人</w:t>
      </w:r>
      <w:r>
        <w:rPr>
          <w:rFonts w:ascii="宋体" w:hAnsi="宋体"/>
          <w:sz w:val="24"/>
        </w:rPr>
        <w:t>提供远程技术支持，</w:t>
      </w:r>
      <w:r>
        <w:rPr>
          <w:rFonts w:hint="eastAsia" w:ascii="宋体" w:hAnsi="宋体"/>
          <w:sz w:val="24"/>
        </w:rPr>
        <w:t>及时</w:t>
      </w:r>
      <w:r>
        <w:rPr>
          <w:rFonts w:ascii="宋体" w:hAnsi="宋体"/>
          <w:sz w:val="24"/>
        </w:rPr>
        <w:t>响应</w:t>
      </w:r>
      <w:r>
        <w:rPr>
          <w:rFonts w:hint="eastAsia" w:ascii="宋体" w:hAnsi="宋体"/>
          <w:sz w:val="24"/>
        </w:rPr>
        <w:t>采购人</w:t>
      </w:r>
      <w:r>
        <w:rPr>
          <w:rFonts w:ascii="宋体" w:hAnsi="宋体"/>
          <w:sz w:val="24"/>
        </w:rPr>
        <w:t>服务请求</w:t>
      </w:r>
      <w:r>
        <w:rPr>
          <w:rFonts w:hint="eastAsia" w:ascii="宋体" w:hAnsi="宋体"/>
          <w:sz w:val="24"/>
        </w:rPr>
        <w:t>，</w:t>
      </w:r>
      <w:r>
        <w:rPr>
          <w:rFonts w:ascii="宋体" w:hAnsi="宋体"/>
          <w:sz w:val="24"/>
        </w:rPr>
        <w:t>必要时协商提供人员现场服务支持</w:t>
      </w:r>
      <w:r>
        <w:rPr>
          <w:rFonts w:hint="eastAsia" w:ascii="宋体" w:hAnsi="宋体"/>
          <w:sz w:val="24"/>
        </w:rPr>
        <w:t>。</w:t>
      </w:r>
    </w:p>
    <w:p w14:paraId="2976488F">
      <w:pPr>
        <w:spacing w:line="360" w:lineRule="auto"/>
        <w:ind w:firstLine="480" w:firstLineChars="200"/>
        <w:rPr>
          <w:rFonts w:hint="eastAsia" w:ascii="宋体" w:hAnsi="宋体"/>
          <w:sz w:val="24"/>
        </w:rPr>
      </w:pPr>
      <w:r>
        <w:rPr>
          <w:rFonts w:hint="eastAsia" w:ascii="宋体" w:hAnsi="宋体"/>
          <w:sz w:val="24"/>
        </w:rPr>
        <w:t>2.服务指标</w:t>
      </w:r>
    </w:p>
    <w:p w14:paraId="39CA6560">
      <w:pPr>
        <w:adjustRightInd w:val="0"/>
        <w:spacing w:line="360" w:lineRule="auto"/>
        <w:ind w:firstLine="480" w:firstLineChars="200"/>
        <w:jc w:val="left"/>
        <w:rPr>
          <w:rFonts w:hint="eastAsia" w:ascii="宋体" w:hAnsi="宋体"/>
          <w:sz w:val="24"/>
        </w:rPr>
      </w:pPr>
      <w:r>
        <w:rPr>
          <w:rFonts w:hint="eastAsia" w:ascii="宋体" w:hAnsi="宋体"/>
          <w:sz w:val="24"/>
        </w:rPr>
        <w:t>服务内容及标准如下：</w:t>
      </w:r>
    </w:p>
    <w:tbl>
      <w:tblPr>
        <w:tblStyle w:val="4"/>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332"/>
        <w:gridCol w:w="6659"/>
      </w:tblGrid>
      <w:tr w14:paraId="767E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19" w:type="dxa"/>
          </w:tcPr>
          <w:p w14:paraId="249FDC08">
            <w:pPr>
              <w:jc w:val="center"/>
              <w:rPr>
                <w:rFonts w:hint="eastAsia" w:ascii="宋体" w:hAnsi="宋体" w:cs="黑体"/>
                <w:sz w:val="24"/>
              </w:rPr>
            </w:pPr>
            <w:r>
              <w:rPr>
                <w:rFonts w:hint="eastAsia" w:ascii="宋体" w:hAnsi="宋体" w:cs="黑体"/>
                <w:sz w:val="24"/>
              </w:rPr>
              <w:t>序号</w:t>
            </w:r>
          </w:p>
        </w:tc>
        <w:tc>
          <w:tcPr>
            <w:tcW w:w="1332" w:type="dxa"/>
          </w:tcPr>
          <w:p w14:paraId="23C8F5AD">
            <w:pPr>
              <w:jc w:val="center"/>
              <w:rPr>
                <w:rFonts w:hint="eastAsia" w:ascii="宋体" w:hAnsi="宋体" w:cs="黑体"/>
                <w:sz w:val="24"/>
              </w:rPr>
            </w:pPr>
            <w:r>
              <w:rPr>
                <w:rFonts w:hint="eastAsia" w:ascii="宋体" w:hAnsi="宋体" w:cs="黑体"/>
                <w:sz w:val="24"/>
              </w:rPr>
              <w:t>服务要求项目</w:t>
            </w:r>
          </w:p>
        </w:tc>
        <w:tc>
          <w:tcPr>
            <w:tcW w:w="6659" w:type="dxa"/>
            <w:vAlign w:val="center"/>
          </w:tcPr>
          <w:p w14:paraId="6F85AE5C">
            <w:pPr>
              <w:jc w:val="center"/>
              <w:rPr>
                <w:rFonts w:hint="eastAsia" w:ascii="宋体" w:hAnsi="宋体" w:cs="黑体"/>
                <w:sz w:val="24"/>
              </w:rPr>
            </w:pPr>
            <w:r>
              <w:rPr>
                <w:rFonts w:hint="eastAsia" w:ascii="宋体" w:hAnsi="宋体" w:cs="黑体"/>
                <w:sz w:val="24"/>
              </w:rPr>
              <w:t>服务要求标准</w:t>
            </w:r>
          </w:p>
        </w:tc>
      </w:tr>
      <w:tr w14:paraId="1BC0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vAlign w:val="center"/>
          </w:tcPr>
          <w:p w14:paraId="7DA37704">
            <w:pPr>
              <w:jc w:val="center"/>
              <w:rPr>
                <w:rFonts w:hint="eastAsia" w:ascii="宋体" w:hAnsi="宋体" w:cs="仿宋_GB2312"/>
                <w:sz w:val="24"/>
              </w:rPr>
            </w:pPr>
            <w:r>
              <w:rPr>
                <w:rFonts w:hint="eastAsia" w:ascii="宋体" w:hAnsi="宋体" w:cs="仿宋_GB2312"/>
                <w:sz w:val="24"/>
              </w:rPr>
              <w:t>1</w:t>
            </w:r>
          </w:p>
        </w:tc>
        <w:tc>
          <w:tcPr>
            <w:tcW w:w="1332" w:type="dxa"/>
            <w:vAlign w:val="center"/>
          </w:tcPr>
          <w:p w14:paraId="0319BD95">
            <w:pPr>
              <w:jc w:val="center"/>
              <w:rPr>
                <w:rFonts w:hint="eastAsia" w:ascii="宋体" w:hAnsi="宋体" w:cs="仿宋_GB2312"/>
                <w:sz w:val="24"/>
              </w:rPr>
            </w:pPr>
            <w:r>
              <w:rPr>
                <w:rFonts w:hint="eastAsia" w:ascii="宋体" w:hAnsi="宋体" w:cs="仿宋_GB2312"/>
                <w:sz w:val="24"/>
              </w:rPr>
              <w:t>产品要求</w:t>
            </w:r>
          </w:p>
        </w:tc>
        <w:tc>
          <w:tcPr>
            <w:tcW w:w="6659" w:type="dxa"/>
          </w:tcPr>
          <w:p w14:paraId="0D8AAA9D">
            <w:pPr>
              <w:rPr>
                <w:rFonts w:hint="eastAsia" w:ascii="宋体" w:hAnsi="宋体" w:cs="仿宋_GB2312"/>
                <w:sz w:val="24"/>
              </w:rPr>
            </w:pPr>
            <w:r>
              <w:rPr>
                <w:rFonts w:hint="eastAsia" w:ascii="宋体" w:hAnsi="宋体" w:cs="仿宋_GB2312"/>
                <w:sz w:val="24"/>
              </w:rPr>
              <w:t>要求供应商必须对本项目涉及的产品拥有完全的知识产权；使用非自身产品的，必须有原厂商对该产品的授权经销商或者有原厂商对本项目的书面授权。（第三方授权有关信息应明确告知采购人，包括被授权产品名称，授权方式，授权期限、授权费等）。向采购人提供客户化软件及核心产品系统中客户化部分的目标程序及全部源代码，以及核心产品软件的目标程序及全部源代码。提供方式由双方协商确定。</w:t>
            </w:r>
          </w:p>
        </w:tc>
      </w:tr>
      <w:tr w14:paraId="1F04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19" w:type="dxa"/>
            <w:vAlign w:val="center"/>
          </w:tcPr>
          <w:p w14:paraId="30BFA553">
            <w:pPr>
              <w:jc w:val="center"/>
              <w:rPr>
                <w:rFonts w:hint="eastAsia" w:ascii="宋体" w:hAnsi="宋体" w:cs="仿宋_GB2312"/>
                <w:sz w:val="24"/>
              </w:rPr>
            </w:pPr>
            <w:r>
              <w:rPr>
                <w:rFonts w:hint="eastAsia" w:ascii="宋体" w:hAnsi="宋体" w:cs="仿宋_GB2312"/>
                <w:sz w:val="24"/>
              </w:rPr>
              <w:t>2</w:t>
            </w:r>
          </w:p>
        </w:tc>
        <w:tc>
          <w:tcPr>
            <w:tcW w:w="1332" w:type="dxa"/>
            <w:vAlign w:val="center"/>
          </w:tcPr>
          <w:p w14:paraId="43362EB4">
            <w:pPr>
              <w:jc w:val="center"/>
              <w:rPr>
                <w:rFonts w:hint="eastAsia" w:ascii="宋体" w:hAnsi="宋体" w:cs="仿宋_GB2312"/>
                <w:sz w:val="24"/>
              </w:rPr>
            </w:pPr>
            <w:r>
              <w:rPr>
                <w:rFonts w:hint="eastAsia" w:ascii="宋体" w:hAnsi="宋体" w:cs="仿宋_GB2312"/>
                <w:sz w:val="24"/>
              </w:rPr>
              <w:t>故障处理</w:t>
            </w:r>
          </w:p>
        </w:tc>
        <w:tc>
          <w:tcPr>
            <w:tcW w:w="6659" w:type="dxa"/>
          </w:tcPr>
          <w:p w14:paraId="10AA8928">
            <w:pPr>
              <w:widowControl/>
              <w:jc w:val="left"/>
              <w:rPr>
                <w:rFonts w:hint="eastAsia" w:ascii="宋体" w:hAnsi="宋体" w:cs="仿宋_GB2312"/>
                <w:sz w:val="24"/>
              </w:rPr>
            </w:pPr>
            <w:r>
              <w:rPr>
                <w:rFonts w:hint="eastAsia" w:ascii="宋体" w:hAnsi="宋体" w:cs="仿宋_GB2312"/>
                <w:sz w:val="24"/>
              </w:rPr>
              <w:t>供应商通过标准化的操作流程进行软件的故障诊断和排除；配合其他条线进行故障处理。</w:t>
            </w:r>
          </w:p>
          <w:p w14:paraId="795C8E3B">
            <w:pPr>
              <w:widowControl/>
              <w:jc w:val="left"/>
              <w:rPr>
                <w:rFonts w:hint="eastAsia" w:ascii="宋体" w:hAnsi="宋体" w:cs="仿宋_GB2312"/>
                <w:sz w:val="24"/>
              </w:rPr>
            </w:pPr>
            <w:r>
              <w:rPr>
                <w:rFonts w:hint="eastAsia" w:ascii="宋体" w:hAnsi="宋体" w:cs="仿宋_GB2312"/>
                <w:sz w:val="24"/>
              </w:rPr>
              <w:t>响应时限：（&lt;15）分钟</w:t>
            </w:r>
          </w:p>
          <w:p w14:paraId="6EC9714E">
            <w:pPr>
              <w:widowControl/>
              <w:jc w:val="left"/>
              <w:rPr>
                <w:rFonts w:hint="eastAsia" w:ascii="宋体" w:hAnsi="宋体" w:cs="仿宋_GB2312"/>
                <w:sz w:val="24"/>
              </w:rPr>
            </w:pPr>
            <w:r>
              <w:rPr>
                <w:rFonts w:hint="eastAsia" w:ascii="宋体" w:hAnsi="宋体" w:cs="仿宋_GB2312"/>
                <w:sz w:val="24"/>
              </w:rPr>
              <w:t>到达现场时限：（&lt;2）小时</w:t>
            </w:r>
          </w:p>
          <w:p w14:paraId="410CB18D">
            <w:pPr>
              <w:widowControl/>
              <w:jc w:val="left"/>
              <w:rPr>
                <w:rFonts w:hint="eastAsia" w:ascii="宋体" w:hAnsi="宋体" w:cs="仿宋_GB2312"/>
                <w:sz w:val="24"/>
              </w:rPr>
            </w:pPr>
            <w:r>
              <w:rPr>
                <w:rFonts w:hint="eastAsia" w:ascii="宋体" w:hAnsi="宋体" w:cs="仿宋_GB2312"/>
                <w:sz w:val="24"/>
              </w:rPr>
              <w:t>解决问题时限：（&lt;4）小时</w:t>
            </w:r>
          </w:p>
        </w:tc>
      </w:tr>
      <w:tr w14:paraId="1130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19" w:type="dxa"/>
            <w:vAlign w:val="center"/>
          </w:tcPr>
          <w:p w14:paraId="00BAF198">
            <w:pPr>
              <w:jc w:val="center"/>
              <w:rPr>
                <w:rFonts w:hint="eastAsia" w:ascii="宋体" w:hAnsi="宋体" w:cs="仿宋_GB2312"/>
                <w:sz w:val="24"/>
              </w:rPr>
            </w:pPr>
            <w:r>
              <w:rPr>
                <w:rFonts w:hint="eastAsia" w:ascii="宋体" w:hAnsi="宋体" w:cs="仿宋_GB2312"/>
                <w:sz w:val="24"/>
              </w:rPr>
              <w:t>3</w:t>
            </w:r>
          </w:p>
        </w:tc>
        <w:tc>
          <w:tcPr>
            <w:tcW w:w="1332" w:type="dxa"/>
            <w:vAlign w:val="center"/>
          </w:tcPr>
          <w:p w14:paraId="1ED308BF">
            <w:pPr>
              <w:jc w:val="center"/>
              <w:rPr>
                <w:rFonts w:hint="eastAsia" w:ascii="宋体" w:hAnsi="宋体" w:cs="仿宋_GB2312"/>
                <w:sz w:val="24"/>
              </w:rPr>
            </w:pPr>
            <w:r>
              <w:rPr>
                <w:rFonts w:hint="eastAsia" w:ascii="宋体" w:hAnsi="宋体" w:cs="仿宋_GB2312"/>
                <w:sz w:val="24"/>
              </w:rPr>
              <w:t>总体要求</w:t>
            </w:r>
          </w:p>
        </w:tc>
        <w:tc>
          <w:tcPr>
            <w:tcW w:w="6659" w:type="dxa"/>
          </w:tcPr>
          <w:p w14:paraId="21034787">
            <w:pPr>
              <w:widowControl/>
              <w:jc w:val="left"/>
              <w:rPr>
                <w:rFonts w:hint="eastAsia" w:ascii="宋体" w:hAnsi="宋体" w:cs="仿宋_GB2312"/>
                <w:sz w:val="24"/>
              </w:rPr>
            </w:pPr>
            <w:r>
              <w:rPr>
                <w:rFonts w:hint="eastAsia" w:ascii="宋体" w:hAnsi="宋体" w:cs="仿宋_GB2312"/>
                <w:sz w:val="24"/>
              </w:rPr>
              <w:t>针对进出口银行业务特点阐述系统实施方法论，并结合方法论，描述完整、可行的系统整体技术方案、实施方案，包括但不限于项目管理、需求确认、系统设计、系统开发、系统测试、系统切换、系统推广等方案，以及试运行策略。</w:t>
            </w:r>
          </w:p>
          <w:p w14:paraId="15DBD79B">
            <w:pPr>
              <w:widowControl/>
              <w:jc w:val="left"/>
              <w:rPr>
                <w:rFonts w:hint="eastAsia" w:ascii="宋体" w:hAnsi="宋体" w:cs="仿宋_GB2312"/>
                <w:sz w:val="24"/>
              </w:rPr>
            </w:pPr>
            <w:r>
              <w:rPr>
                <w:rFonts w:hint="eastAsia" w:ascii="宋体" w:hAnsi="宋体" w:cs="仿宋_GB2312"/>
                <w:sz w:val="24"/>
              </w:rPr>
              <w:t>要求完成项目实施、测试及系统投产等工作，并阐述系统的项目整体技术方案、实施方案、测试方案、系统投产方案，根据需要附相应模板。对于其中进出口银行有模板要求的交付件，应使用要求的模版进行编写。</w:t>
            </w:r>
          </w:p>
          <w:p w14:paraId="2DEB1111">
            <w:pPr>
              <w:widowControl/>
              <w:jc w:val="left"/>
              <w:rPr>
                <w:rFonts w:hint="eastAsia" w:ascii="宋体" w:hAnsi="宋体" w:cs="仿宋_GB2312"/>
                <w:sz w:val="24"/>
              </w:rPr>
            </w:pPr>
            <w:r>
              <w:rPr>
                <w:rFonts w:hint="eastAsia" w:ascii="宋体" w:hAnsi="宋体" w:cs="仿宋_GB2312"/>
                <w:sz w:val="24"/>
              </w:rPr>
              <w:t>阐述项目实施的组织架构（其中应包含进出口银行人员），并描述实施预期的时间进度表，提供具有明确里程碑的项目实施计划。</w:t>
            </w:r>
          </w:p>
          <w:p w14:paraId="2DFA7A67">
            <w:pPr>
              <w:widowControl/>
              <w:jc w:val="left"/>
              <w:rPr>
                <w:rFonts w:hint="eastAsia" w:ascii="宋体" w:hAnsi="宋体" w:cs="仿宋_GB2312"/>
                <w:sz w:val="24"/>
              </w:rPr>
            </w:pPr>
            <w:r>
              <w:rPr>
                <w:rFonts w:hint="eastAsia" w:ascii="宋体" w:hAnsi="宋体" w:cs="仿宋_GB2312"/>
                <w:sz w:val="24"/>
              </w:rPr>
              <w:t>要求提供初步的验收测试计划以及充分的验收标准，并提供系统集成测试和投产测试的测试方案、测试案例和测试工具。</w:t>
            </w:r>
          </w:p>
          <w:p w14:paraId="7D368C9B">
            <w:pPr>
              <w:widowControl/>
              <w:jc w:val="left"/>
              <w:rPr>
                <w:rFonts w:hint="eastAsia" w:ascii="宋体" w:hAnsi="宋体" w:cs="仿宋_GB2312"/>
                <w:sz w:val="24"/>
              </w:rPr>
            </w:pPr>
            <w:r>
              <w:rPr>
                <w:rFonts w:hint="eastAsia" w:ascii="宋体" w:hAnsi="宋体" w:cs="仿宋_GB2312"/>
                <w:sz w:val="24"/>
              </w:rPr>
              <w:t>厂商在本项目实施过程中，须服从进出口银行项目管理机构的管理。</w:t>
            </w:r>
          </w:p>
          <w:p w14:paraId="30BD0DEF">
            <w:pPr>
              <w:widowControl/>
              <w:jc w:val="left"/>
              <w:rPr>
                <w:rFonts w:hint="eastAsia" w:ascii="宋体" w:hAnsi="宋体" w:cs="仿宋_GB2312"/>
                <w:sz w:val="24"/>
              </w:rPr>
            </w:pPr>
            <w:r>
              <w:rPr>
                <w:rFonts w:hint="eastAsia" w:ascii="宋体" w:hAnsi="宋体" w:cs="仿宋_GB2312"/>
                <w:sz w:val="24"/>
              </w:rPr>
              <w:t>要求厂商提供本项目中所有交付物清单，包括但不限于项目文档、产品技术文档（包括平台/系统相关的接口和集成技术规范、设计规范等规范类文件，与整体技术方案一并纳入评审范围。如需外部专家参加评审的，供应商负责外部专家评审费用）、用户手册和系统管理手册。</w:t>
            </w:r>
          </w:p>
          <w:p w14:paraId="5FCC502E">
            <w:pPr>
              <w:widowControl/>
              <w:jc w:val="left"/>
              <w:rPr>
                <w:rFonts w:hint="eastAsia" w:ascii="宋体" w:hAnsi="宋体" w:cs="仿宋_GB2312"/>
                <w:sz w:val="24"/>
              </w:rPr>
            </w:pPr>
            <w:r>
              <w:rPr>
                <w:rFonts w:hint="eastAsia" w:ascii="宋体" w:hAnsi="宋体" w:cs="仿宋_GB2312"/>
                <w:sz w:val="24"/>
              </w:rPr>
              <w:t>阐述系统故障应急预案，确保系统在突发状况后能够及时发现，补救，恢复。</w:t>
            </w:r>
          </w:p>
          <w:p w14:paraId="3C2CE40E">
            <w:pPr>
              <w:widowControl/>
              <w:jc w:val="left"/>
              <w:rPr>
                <w:rFonts w:hint="eastAsia" w:ascii="宋体" w:hAnsi="宋体" w:cs="仿宋_GB2312"/>
                <w:sz w:val="24"/>
              </w:rPr>
            </w:pPr>
            <w:r>
              <w:rPr>
                <w:rFonts w:hint="eastAsia" w:ascii="宋体" w:hAnsi="宋体" w:cs="仿宋_GB2312"/>
                <w:sz w:val="24"/>
              </w:rPr>
              <w:t>如有涉及第三方产品及服务，阐述相关产品及服务内容，报价及后期维护方式和费用。</w:t>
            </w:r>
          </w:p>
          <w:p w14:paraId="2135C3C8">
            <w:pPr>
              <w:widowControl/>
              <w:jc w:val="left"/>
              <w:rPr>
                <w:rFonts w:hint="eastAsia" w:ascii="宋体" w:hAnsi="宋体" w:cs="仿宋_GB2312"/>
                <w:sz w:val="24"/>
              </w:rPr>
            </w:pPr>
            <w:r>
              <w:rPr>
                <w:rFonts w:hint="eastAsia" w:ascii="宋体" w:hAnsi="宋体" w:cs="仿宋_GB2312"/>
                <w:sz w:val="24"/>
              </w:rPr>
              <w:t>在技术方案评审阶段，提供软件物料清单，如涉及开源软件引入和使用的，应按照采购人要求开展引入评审和使用备案后方可使用。提供后续对开源软件的维护及升级支持，纳入维保范围。</w:t>
            </w:r>
          </w:p>
          <w:p w14:paraId="26A48934">
            <w:pPr>
              <w:rPr>
                <w:rFonts w:hint="eastAsia" w:ascii="宋体" w:hAnsi="宋体" w:cs="仿宋_GB2312"/>
                <w:sz w:val="24"/>
              </w:rPr>
            </w:pPr>
            <w:r>
              <w:rPr>
                <w:rFonts w:hint="eastAsia" w:ascii="宋体" w:hAnsi="宋体" w:cs="仿宋_GB2312"/>
                <w:sz w:val="24"/>
              </w:rPr>
              <w:t>项目所涉及系统的新建及升级改造应遵循采购人企业级架构原则进行系统设计，制定系统架构方案，并综合考虑采购人国产化替代工作情况。包括但不限于按照采购人联机、批量、消息等接口标准与行内系统进行交互；可对接采购人统一的用户认证系统，平台内部应用实现单点登录功能；Web页面应基于chrome内核浏览器进行开发等。</w:t>
            </w:r>
          </w:p>
        </w:tc>
      </w:tr>
      <w:tr w14:paraId="4DB0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vAlign w:val="center"/>
          </w:tcPr>
          <w:p w14:paraId="06751DB7">
            <w:pPr>
              <w:jc w:val="center"/>
              <w:rPr>
                <w:rFonts w:hint="eastAsia" w:ascii="宋体" w:hAnsi="宋体" w:cs="仿宋_GB2312"/>
                <w:sz w:val="24"/>
              </w:rPr>
            </w:pPr>
            <w:r>
              <w:rPr>
                <w:rFonts w:hint="eastAsia" w:ascii="宋体" w:hAnsi="宋体" w:cs="仿宋_GB2312"/>
                <w:sz w:val="24"/>
              </w:rPr>
              <w:t>4</w:t>
            </w:r>
          </w:p>
        </w:tc>
        <w:tc>
          <w:tcPr>
            <w:tcW w:w="1332" w:type="dxa"/>
            <w:vAlign w:val="center"/>
          </w:tcPr>
          <w:p w14:paraId="5601BBB0">
            <w:pPr>
              <w:jc w:val="center"/>
              <w:rPr>
                <w:rFonts w:hint="eastAsia" w:ascii="宋体" w:hAnsi="宋体" w:cs="仿宋_GB2312"/>
                <w:sz w:val="24"/>
              </w:rPr>
            </w:pPr>
            <w:r>
              <w:rPr>
                <w:rFonts w:hint="eastAsia" w:ascii="宋体" w:hAnsi="宋体" w:cs="仿宋_GB2312"/>
                <w:sz w:val="24"/>
              </w:rPr>
              <w:t>项目实施要求</w:t>
            </w:r>
          </w:p>
        </w:tc>
        <w:tc>
          <w:tcPr>
            <w:tcW w:w="6659" w:type="dxa"/>
          </w:tcPr>
          <w:p w14:paraId="1B8A3059">
            <w:pPr>
              <w:widowControl/>
              <w:jc w:val="left"/>
              <w:rPr>
                <w:rFonts w:hint="eastAsia" w:ascii="宋体" w:hAnsi="宋体" w:cs="仿宋_GB2312"/>
                <w:sz w:val="24"/>
              </w:rPr>
            </w:pPr>
            <w:r>
              <w:rPr>
                <w:rFonts w:hint="eastAsia" w:ascii="宋体" w:hAnsi="宋体" w:cs="仿宋_GB2312"/>
                <w:sz w:val="24"/>
              </w:rPr>
              <w:t>以下列出了本项目实施过程中重要的实施任务，供应商应承诺完成所有实施任务，并遵守其中相关约定。相关要求参照项目工作说明书。</w:t>
            </w:r>
          </w:p>
          <w:p w14:paraId="1F6D7EE8">
            <w:pPr>
              <w:widowControl/>
              <w:jc w:val="left"/>
              <w:rPr>
                <w:rFonts w:hint="eastAsia" w:ascii="宋体" w:hAnsi="宋体" w:cs="仿宋_GB2312"/>
                <w:sz w:val="24"/>
              </w:rPr>
            </w:pPr>
            <w:r>
              <w:rPr>
                <w:rFonts w:hint="eastAsia" w:ascii="宋体" w:hAnsi="宋体" w:cs="仿宋_GB2312"/>
                <w:sz w:val="24"/>
              </w:rPr>
              <w:t>（一）项目管理。</w:t>
            </w:r>
          </w:p>
          <w:p w14:paraId="46AA4314">
            <w:pPr>
              <w:widowControl/>
              <w:jc w:val="left"/>
              <w:rPr>
                <w:rFonts w:hint="eastAsia" w:ascii="宋体" w:hAnsi="宋体" w:cs="仿宋_GB2312"/>
                <w:sz w:val="24"/>
              </w:rPr>
            </w:pPr>
            <w:r>
              <w:rPr>
                <w:rFonts w:hint="eastAsia" w:ascii="宋体" w:hAnsi="宋体" w:cs="仿宋_GB2312"/>
                <w:sz w:val="24"/>
              </w:rPr>
              <w:t>负责制定项目计划，并按照进出口银行的要求进行必要的调整。监督和控制项目进度。</w:t>
            </w:r>
          </w:p>
          <w:p w14:paraId="0CDC23F8">
            <w:pPr>
              <w:widowControl/>
              <w:jc w:val="left"/>
              <w:rPr>
                <w:rFonts w:hint="eastAsia" w:ascii="宋体" w:hAnsi="宋体" w:cs="仿宋_GB2312"/>
                <w:sz w:val="24"/>
              </w:rPr>
            </w:pPr>
            <w:r>
              <w:rPr>
                <w:rFonts w:hint="eastAsia" w:ascii="宋体" w:hAnsi="宋体" w:cs="仿宋_GB2312"/>
                <w:sz w:val="24"/>
              </w:rPr>
              <w:t>负责管理安排项目资源。</w:t>
            </w:r>
          </w:p>
          <w:p w14:paraId="745CA26E">
            <w:pPr>
              <w:widowControl/>
              <w:jc w:val="left"/>
              <w:rPr>
                <w:rFonts w:hint="eastAsia" w:ascii="宋体" w:hAnsi="宋体" w:cs="仿宋_GB2312"/>
                <w:sz w:val="24"/>
              </w:rPr>
            </w:pPr>
            <w:r>
              <w:rPr>
                <w:rFonts w:hint="eastAsia" w:ascii="宋体" w:hAnsi="宋体" w:cs="仿宋_GB2312"/>
                <w:sz w:val="24"/>
              </w:rPr>
              <w:t>负责配合管理项目的各项任务执行、人力资源、相互工作配合与交付承诺。</w:t>
            </w:r>
          </w:p>
          <w:p w14:paraId="20D03ECA">
            <w:pPr>
              <w:widowControl/>
              <w:jc w:val="left"/>
              <w:rPr>
                <w:rFonts w:hint="eastAsia" w:ascii="宋体" w:hAnsi="宋体" w:cs="仿宋_GB2312"/>
                <w:sz w:val="24"/>
              </w:rPr>
            </w:pPr>
            <w:r>
              <w:rPr>
                <w:rFonts w:hint="eastAsia" w:ascii="宋体" w:hAnsi="宋体" w:cs="仿宋_GB2312"/>
                <w:sz w:val="24"/>
              </w:rPr>
              <w:t>负责配合管理项目范围和需求变更，并协调变更要求的签署。</w:t>
            </w:r>
          </w:p>
          <w:p w14:paraId="7005835A">
            <w:pPr>
              <w:widowControl/>
              <w:jc w:val="left"/>
              <w:rPr>
                <w:rFonts w:hint="eastAsia" w:ascii="宋体" w:hAnsi="宋体" w:cs="仿宋_GB2312"/>
                <w:sz w:val="24"/>
              </w:rPr>
            </w:pPr>
            <w:r>
              <w:rPr>
                <w:rFonts w:hint="eastAsia" w:ascii="宋体" w:hAnsi="宋体" w:cs="仿宋_GB2312"/>
                <w:sz w:val="24"/>
              </w:rPr>
              <w:t>负责实施项目配置和交付管理以及项目质量管理。</w:t>
            </w:r>
          </w:p>
          <w:p w14:paraId="1E8D07D6">
            <w:pPr>
              <w:widowControl/>
              <w:jc w:val="left"/>
              <w:rPr>
                <w:rFonts w:hint="eastAsia" w:ascii="宋体" w:hAnsi="宋体" w:cs="仿宋_GB2312"/>
                <w:sz w:val="24"/>
              </w:rPr>
            </w:pPr>
            <w:r>
              <w:rPr>
                <w:rFonts w:hint="eastAsia" w:ascii="宋体" w:hAnsi="宋体" w:cs="仿宋_GB2312"/>
                <w:sz w:val="24"/>
              </w:rPr>
              <w:t>负责项目问题管理和项目风险管理。</w:t>
            </w:r>
          </w:p>
          <w:p w14:paraId="23726533">
            <w:pPr>
              <w:widowControl/>
              <w:jc w:val="left"/>
              <w:rPr>
                <w:rFonts w:hint="eastAsia" w:ascii="宋体" w:hAnsi="宋体" w:cs="仿宋_GB2312"/>
                <w:sz w:val="24"/>
              </w:rPr>
            </w:pPr>
            <w:r>
              <w:rPr>
                <w:rFonts w:hint="eastAsia" w:ascii="宋体" w:hAnsi="宋体" w:cs="仿宋_GB2312"/>
                <w:sz w:val="24"/>
              </w:rPr>
              <w:t>负责与进出口银行进行沟通并按照要求进行工作报告。</w:t>
            </w:r>
          </w:p>
          <w:p w14:paraId="76A121CD">
            <w:pPr>
              <w:widowControl/>
              <w:jc w:val="left"/>
              <w:rPr>
                <w:rFonts w:hint="eastAsia" w:ascii="宋体" w:hAnsi="宋体" w:cs="仿宋_GB2312"/>
                <w:sz w:val="24"/>
              </w:rPr>
            </w:pPr>
            <w:r>
              <w:rPr>
                <w:rFonts w:hint="eastAsia" w:ascii="宋体" w:hAnsi="宋体" w:cs="仿宋_GB2312"/>
                <w:sz w:val="24"/>
              </w:rPr>
              <w:t>（二）业务功能分析和设计。</w:t>
            </w:r>
          </w:p>
          <w:p w14:paraId="1E9AB23B">
            <w:pPr>
              <w:widowControl/>
              <w:jc w:val="left"/>
              <w:rPr>
                <w:rFonts w:hint="eastAsia" w:ascii="宋体" w:hAnsi="宋体" w:cs="仿宋_GB2312"/>
                <w:sz w:val="24"/>
              </w:rPr>
            </w:pPr>
            <w:r>
              <w:rPr>
                <w:rFonts w:hint="eastAsia" w:ascii="宋体" w:hAnsi="宋体" w:cs="仿宋_GB2312"/>
                <w:sz w:val="24"/>
              </w:rPr>
              <w:t>负责对本项目需求梳理细化。</w:t>
            </w:r>
          </w:p>
          <w:p w14:paraId="2FB4458B">
            <w:pPr>
              <w:widowControl/>
              <w:jc w:val="left"/>
              <w:rPr>
                <w:rFonts w:hint="eastAsia" w:ascii="宋体" w:hAnsi="宋体" w:cs="仿宋_GB2312"/>
                <w:sz w:val="24"/>
              </w:rPr>
            </w:pPr>
            <w:r>
              <w:rPr>
                <w:rFonts w:hint="eastAsia" w:ascii="宋体" w:hAnsi="宋体" w:cs="仿宋_GB2312"/>
                <w:sz w:val="24"/>
              </w:rPr>
              <w:t>负责业务需求差异分析和评估。</w:t>
            </w:r>
          </w:p>
          <w:p w14:paraId="31DCC39B">
            <w:pPr>
              <w:widowControl/>
              <w:jc w:val="left"/>
              <w:rPr>
                <w:rFonts w:hint="eastAsia" w:ascii="宋体" w:hAnsi="宋体" w:cs="仿宋_GB2312"/>
                <w:sz w:val="24"/>
              </w:rPr>
            </w:pPr>
            <w:r>
              <w:rPr>
                <w:rFonts w:hint="eastAsia" w:ascii="宋体" w:hAnsi="宋体" w:cs="仿宋_GB2312"/>
                <w:sz w:val="24"/>
              </w:rPr>
              <w:t>负责业务功能分析和制定。</w:t>
            </w:r>
          </w:p>
          <w:p w14:paraId="7D48F08A">
            <w:pPr>
              <w:widowControl/>
              <w:jc w:val="left"/>
              <w:rPr>
                <w:rFonts w:hint="eastAsia" w:ascii="宋体" w:hAnsi="宋体" w:cs="仿宋_GB2312"/>
                <w:sz w:val="24"/>
              </w:rPr>
            </w:pPr>
            <w:r>
              <w:rPr>
                <w:rFonts w:hint="eastAsia" w:ascii="宋体" w:hAnsi="宋体" w:cs="仿宋_GB2312"/>
                <w:sz w:val="24"/>
              </w:rPr>
              <w:t>负责编写需求规格说明书。</w:t>
            </w:r>
          </w:p>
          <w:p w14:paraId="7240D92A">
            <w:pPr>
              <w:widowControl/>
              <w:jc w:val="left"/>
              <w:rPr>
                <w:rFonts w:hint="eastAsia" w:ascii="宋体" w:hAnsi="宋体" w:cs="仿宋_GB2312"/>
                <w:sz w:val="24"/>
              </w:rPr>
            </w:pPr>
            <w:r>
              <w:rPr>
                <w:rFonts w:hint="eastAsia" w:ascii="宋体" w:hAnsi="宋体" w:cs="仿宋_GB2312"/>
                <w:sz w:val="24"/>
              </w:rPr>
              <w:t>负责提出与周边系统的集成解决方案。</w:t>
            </w:r>
          </w:p>
          <w:p w14:paraId="3CD803FD">
            <w:pPr>
              <w:widowControl/>
              <w:jc w:val="left"/>
              <w:rPr>
                <w:rFonts w:hint="eastAsia" w:ascii="宋体" w:hAnsi="宋体" w:cs="仿宋_GB2312"/>
                <w:sz w:val="24"/>
              </w:rPr>
            </w:pPr>
            <w:r>
              <w:rPr>
                <w:rFonts w:hint="eastAsia" w:ascii="宋体" w:hAnsi="宋体" w:cs="仿宋_GB2312"/>
                <w:sz w:val="24"/>
              </w:rPr>
              <w:t>负责系统配置设计、界面设计、扩展功能开发设计、数据转换设计等。</w:t>
            </w:r>
          </w:p>
          <w:p w14:paraId="461DD1C2">
            <w:pPr>
              <w:widowControl/>
              <w:jc w:val="left"/>
              <w:rPr>
                <w:rFonts w:hint="eastAsia" w:ascii="宋体" w:hAnsi="宋体" w:cs="仿宋_GB2312"/>
                <w:sz w:val="24"/>
              </w:rPr>
            </w:pPr>
            <w:r>
              <w:rPr>
                <w:rFonts w:hint="eastAsia" w:ascii="宋体" w:hAnsi="宋体" w:cs="仿宋_GB2312"/>
                <w:sz w:val="24"/>
              </w:rPr>
              <w:t>（三）技术架构分析和设计。</w:t>
            </w:r>
          </w:p>
          <w:p w14:paraId="0104D8F2">
            <w:pPr>
              <w:widowControl/>
              <w:jc w:val="left"/>
              <w:rPr>
                <w:rFonts w:hint="eastAsia" w:ascii="宋体" w:hAnsi="宋体" w:cs="仿宋_GB2312"/>
                <w:sz w:val="24"/>
              </w:rPr>
            </w:pPr>
            <w:r>
              <w:rPr>
                <w:rFonts w:hint="eastAsia" w:ascii="宋体" w:hAnsi="宋体" w:cs="仿宋_GB2312"/>
                <w:sz w:val="24"/>
              </w:rPr>
              <w:t>负责制定技术架构方案。</w:t>
            </w:r>
          </w:p>
          <w:p w14:paraId="32036ABF">
            <w:pPr>
              <w:widowControl/>
              <w:jc w:val="left"/>
              <w:rPr>
                <w:rFonts w:hint="eastAsia" w:ascii="宋体" w:hAnsi="宋体" w:cs="仿宋_GB2312"/>
                <w:sz w:val="24"/>
              </w:rPr>
            </w:pPr>
            <w:r>
              <w:rPr>
                <w:rFonts w:hint="eastAsia" w:ascii="宋体" w:hAnsi="宋体" w:cs="仿宋_GB2312"/>
                <w:sz w:val="24"/>
              </w:rPr>
              <w:t>负责制定运维管理方案。</w:t>
            </w:r>
          </w:p>
          <w:p w14:paraId="4822E905">
            <w:pPr>
              <w:widowControl/>
              <w:jc w:val="left"/>
              <w:rPr>
                <w:rFonts w:hint="eastAsia" w:ascii="宋体" w:hAnsi="宋体" w:cs="仿宋_GB2312"/>
                <w:sz w:val="24"/>
              </w:rPr>
            </w:pPr>
            <w:r>
              <w:rPr>
                <w:rFonts w:hint="eastAsia" w:ascii="宋体" w:hAnsi="宋体" w:cs="仿宋_GB2312"/>
                <w:sz w:val="24"/>
              </w:rPr>
              <w:t>负责分析接口定义并提出技术实现方案。</w:t>
            </w:r>
          </w:p>
          <w:p w14:paraId="7E523CAB">
            <w:pPr>
              <w:widowControl/>
              <w:jc w:val="left"/>
              <w:rPr>
                <w:rFonts w:hint="eastAsia" w:ascii="宋体" w:hAnsi="宋体" w:cs="仿宋_GB2312"/>
                <w:sz w:val="24"/>
              </w:rPr>
            </w:pPr>
            <w:r>
              <w:rPr>
                <w:rFonts w:hint="eastAsia" w:ascii="宋体" w:hAnsi="宋体" w:cs="仿宋_GB2312"/>
                <w:sz w:val="24"/>
              </w:rPr>
              <w:t>负责评估与进出口银行总体技术架构的差异，并编写技术规格说明书。</w:t>
            </w:r>
          </w:p>
          <w:p w14:paraId="33EE582B">
            <w:pPr>
              <w:widowControl/>
              <w:jc w:val="left"/>
              <w:rPr>
                <w:rFonts w:hint="eastAsia" w:ascii="宋体" w:hAnsi="宋体" w:cs="仿宋_GB2312"/>
                <w:sz w:val="24"/>
              </w:rPr>
            </w:pPr>
            <w:r>
              <w:rPr>
                <w:rFonts w:hint="eastAsia" w:ascii="宋体" w:hAnsi="宋体" w:cs="仿宋_GB2312"/>
                <w:sz w:val="24"/>
              </w:rPr>
              <w:t>负责提出开发与测试环境的构建方案。</w:t>
            </w:r>
          </w:p>
          <w:p w14:paraId="59B940C3">
            <w:pPr>
              <w:widowControl/>
              <w:jc w:val="left"/>
              <w:rPr>
                <w:rFonts w:hint="eastAsia" w:ascii="宋体" w:hAnsi="宋体" w:cs="仿宋_GB2312"/>
                <w:sz w:val="24"/>
              </w:rPr>
            </w:pPr>
            <w:r>
              <w:rPr>
                <w:rFonts w:hint="eastAsia" w:ascii="宋体" w:hAnsi="宋体" w:cs="仿宋_GB2312"/>
                <w:sz w:val="24"/>
              </w:rPr>
              <w:t>负责提出生产环境的构建方案。</w:t>
            </w:r>
          </w:p>
          <w:p w14:paraId="32F65C32">
            <w:pPr>
              <w:widowControl/>
              <w:jc w:val="left"/>
              <w:rPr>
                <w:rFonts w:hint="eastAsia" w:ascii="宋体" w:hAnsi="宋体" w:cs="仿宋_GB2312"/>
                <w:sz w:val="24"/>
              </w:rPr>
            </w:pPr>
            <w:r>
              <w:rPr>
                <w:rFonts w:hint="eastAsia" w:ascii="宋体" w:hAnsi="宋体" w:cs="仿宋_GB2312"/>
                <w:sz w:val="24"/>
              </w:rPr>
              <w:t>负责编写技术设计说明书。</w:t>
            </w:r>
          </w:p>
          <w:p w14:paraId="303BBE76">
            <w:pPr>
              <w:widowControl/>
              <w:jc w:val="left"/>
              <w:rPr>
                <w:rFonts w:hint="eastAsia" w:ascii="宋体" w:hAnsi="宋体" w:cs="仿宋_GB2312"/>
                <w:sz w:val="24"/>
              </w:rPr>
            </w:pPr>
            <w:r>
              <w:rPr>
                <w:rFonts w:hint="eastAsia" w:ascii="宋体" w:hAnsi="宋体" w:cs="仿宋_GB2312"/>
                <w:sz w:val="24"/>
              </w:rPr>
              <w:t>（四）业务功能构建。</w:t>
            </w:r>
          </w:p>
          <w:p w14:paraId="7F06759A">
            <w:pPr>
              <w:widowControl/>
              <w:jc w:val="left"/>
              <w:rPr>
                <w:rFonts w:hint="eastAsia" w:ascii="宋体" w:hAnsi="宋体" w:cs="仿宋_GB2312"/>
                <w:sz w:val="24"/>
              </w:rPr>
            </w:pPr>
            <w:r>
              <w:rPr>
                <w:rFonts w:hint="eastAsia" w:ascii="宋体" w:hAnsi="宋体" w:cs="仿宋_GB2312"/>
                <w:sz w:val="24"/>
              </w:rPr>
              <w:t>负责提出参数配置模版及配置方案。</w:t>
            </w:r>
          </w:p>
          <w:p w14:paraId="35DA92C0">
            <w:pPr>
              <w:widowControl/>
              <w:jc w:val="left"/>
              <w:rPr>
                <w:rFonts w:hint="eastAsia" w:ascii="宋体" w:hAnsi="宋体" w:cs="仿宋_GB2312"/>
                <w:sz w:val="24"/>
              </w:rPr>
            </w:pPr>
            <w:r>
              <w:rPr>
                <w:rFonts w:hint="eastAsia" w:ascii="宋体" w:hAnsi="宋体" w:cs="仿宋_GB2312"/>
                <w:sz w:val="24"/>
              </w:rPr>
              <w:t>负责进行客户化部分的详细设计，并编写详细设计说明书。</w:t>
            </w:r>
          </w:p>
          <w:p w14:paraId="1D3CA8B1">
            <w:pPr>
              <w:widowControl/>
              <w:jc w:val="left"/>
              <w:rPr>
                <w:rFonts w:hint="eastAsia" w:ascii="宋体" w:hAnsi="宋体" w:cs="仿宋_GB2312"/>
                <w:sz w:val="24"/>
              </w:rPr>
            </w:pPr>
            <w:r>
              <w:rPr>
                <w:rFonts w:hint="eastAsia" w:ascii="宋体" w:hAnsi="宋体" w:cs="仿宋_GB2312"/>
                <w:sz w:val="24"/>
              </w:rPr>
              <w:t>负责接口开发、扩展功能开发、数据转换开发。</w:t>
            </w:r>
          </w:p>
          <w:p w14:paraId="3B205914">
            <w:pPr>
              <w:widowControl/>
              <w:jc w:val="left"/>
              <w:rPr>
                <w:rFonts w:hint="eastAsia" w:ascii="宋体" w:hAnsi="宋体" w:cs="仿宋_GB2312"/>
                <w:sz w:val="24"/>
              </w:rPr>
            </w:pPr>
            <w:r>
              <w:rPr>
                <w:rFonts w:hint="eastAsia" w:ascii="宋体" w:hAnsi="宋体" w:cs="仿宋_GB2312"/>
                <w:sz w:val="24"/>
              </w:rPr>
              <w:t>负责计划、准备与执行单元测试。</w:t>
            </w:r>
          </w:p>
          <w:p w14:paraId="630638BE">
            <w:pPr>
              <w:widowControl/>
              <w:jc w:val="left"/>
              <w:rPr>
                <w:rFonts w:hint="eastAsia" w:ascii="宋体" w:hAnsi="宋体" w:cs="仿宋_GB2312"/>
                <w:sz w:val="24"/>
              </w:rPr>
            </w:pPr>
            <w:r>
              <w:rPr>
                <w:rFonts w:hint="eastAsia" w:ascii="宋体" w:hAnsi="宋体" w:cs="仿宋_GB2312"/>
                <w:sz w:val="24"/>
              </w:rPr>
              <w:t>负责确认单元测试结果并提交单元测试报告。</w:t>
            </w:r>
          </w:p>
          <w:p w14:paraId="00BBC11F">
            <w:pPr>
              <w:widowControl/>
              <w:jc w:val="left"/>
              <w:rPr>
                <w:rFonts w:hint="eastAsia" w:ascii="宋体" w:hAnsi="宋体" w:cs="仿宋_GB2312"/>
                <w:sz w:val="24"/>
              </w:rPr>
            </w:pPr>
            <w:r>
              <w:rPr>
                <w:rFonts w:hint="eastAsia" w:ascii="宋体" w:hAnsi="宋体" w:cs="仿宋_GB2312"/>
                <w:sz w:val="24"/>
              </w:rPr>
              <w:t>（五）技术架构构建。</w:t>
            </w:r>
          </w:p>
          <w:p w14:paraId="3DEC6B8C">
            <w:pPr>
              <w:widowControl/>
              <w:jc w:val="left"/>
              <w:rPr>
                <w:rFonts w:hint="eastAsia" w:ascii="宋体" w:hAnsi="宋体" w:cs="仿宋_GB2312"/>
                <w:sz w:val="24"/>
              </w:rPr>
            </w:pPr>
            <w:r>
              <w:rPr>
                <w:rFonts w:hint="eastAsia" w:ascii="宋体" w:hAnsi="宋体" w:cs="仿宋_GB2312"/>
                <w:sz w:val="24"/>
              </w:rPr>
              <w:t>负责测试环境的构建与确认。</w:t>
            </w:r>
          </w:p>
          <w:p w14:paraId="31E6B6EC">
            <w:pPr>
              <w:widowControl/>
              <w:jc w:val="left"/>
              <w:rPr>
                <w:rFonts w:hint="eastAsia" w:ascii="宋体" w:hAnsi="宋体" w:cs="仿宋_GB2312"/>
                <w:sz w:val="24"/>
              </w:rPr>
            </w:pPr>
            <w:r>
              <w:rPr>
                <w:rFonts w:hint="eastAsia" w:ascii="宋体" w:hAnsi="宋体" w:cs="仿宋_GB2312"/>
                <w:sz w:val="24"/>
              </w:rPr>
              <w:t>负责就测试环境管理流程和制度与进出口银行达成一致。</w:t>
            </w:r>
          </w:p>
          <w:p w14:paraId="7B045199">
            <w:pPr>
              <w:widowControl/>
              <w:jc w:val="left"/>
              <w:rPr>
                <w:rFonts w:hint="eastAsia" w:ascii="宋体" w:hAnsi="宋体" w:cs="仿宋_GB2312"/>
                <w:sz w:val="24"/>
              </w:rPr>
            </w:pPr>
            <w:r>
              <w:rPr>
                <w:rFonts w:hint="eastAsia" w:ascii="宋体" w:hAnsi="宋体" w:cs="仿宋_GB2312"/>
                <w:sz w:val="24"/>
              </w:rPr>
              <w:t>负责进行测试环境下的应用系统的安装和配置。</w:t>
            </w:r>
          </w:p>
          <w:p w14:paraId="6FBB60ED">
            <w:pPr>
              <w:widowControl/>
              <w:jc w:val="left"/>
              <w:rPr>
                <w:rFonts w:hint="eastAsia" w:ascii="宋体" w:hAnsi="宋体" w:cs="仿宋_GB2312"/>
                <w:sz w:val="24"/>
              </w:rPr>
            </w:pPr>
            <w:r>
              <w:rPr>
                <w:rFonts w:hint="eastAsia" w:ascii="宋体" w:hAnsi="宋体" w:cs="仿宋_GB2312"/>
                <w:sz w:val="24"/>
              </w:rPr>
              <w:t>（六）产品测试和性能测试。</w:t>
            </w:r>
          </w:p>
          <w:p w14:paraId="0282582A">
            <w:pPr>
              <w:widowControl/>
              <w:jc w:val="left"/>
              <w:rPr>
                <w:rFonts w:hint="eastAsia" w:ascii="宋体" w:hAnsi="宋体" w:cs="仿宋_GB2312"/>
                <w:sz w:val="24"/>
              </w:rPr>
            </w:pPr>
            <w:r>
              <w:rPr>
                <w:rFonts w:hint="eastAsia" w:ascii="宋体" w:hAnsi="宋体" w:cs="仿宋_GB2312"/>
                <w:sz w:val="24"/>
              </w:rPr>
              <w:t>负责产品测试的计划、准备和执行。</w:t>
            </w:r>
          </w:p>
          <w:p w14:paraId="5D7D04AB">
            <w:pPr>
              <w:widowControl/>
              <w:jc w:val="left"/>
              <w:rPr>
                <w:rFonts w:hint="eastAsia" w:ascii="宋体" w:hAnsi="宋体" w:cs="仿宋_GB2312"/>
                <w:sz w:val="24"/>
              </w:rPr>
            </w:pPr>
            <w:r>
              <w:rPr>
                <w:rFonts w:hint="eastAsia" w:ascii="宋体" w:hAnsi="宋体" w:cs="仿宋_GB2312"/>
                <w:sz w:val="24"/>
              </w:rPr>
              <w:t>负责系统修补，并完成产品测试报告。</w:t>
            </w:r>
          </w:p>
          <w:p w14:paraId="202903EB">
            <w:pPr>
              <w:widowControl/>
              <w:jc w:val="left"/>
              <w:rPr>
                <w:rFonts w:hint="eastAsia" w:ascii="宋体" w:hAnsi="宋体" w:cs="仿宋_GB2312"/>
                <w:sz w:val="24"/>
              </w:rPr>
            </w:pPr>
            <w:r>
              <w:rPr>
                <w:rFonts w:hint="eastAsia" w:ascii="宋体" w:hAnsi="宋体" w:cs="仿宋_GB2312"/>
                <w:sz w:val="24"/>
              </w:rPr>
              <w:t>负责性能测试的计划、准备和执行。</w:t>
            </w:r>
          </w:p>
          <w:p w14:paraId="60881926">
            <w:pPr>
              <w:widowControl/>
              <w:jc w:val="left"/>
              <w:rPr>
                <w:rFonts w:hint="eastAsia" w:ascii="宋体" w:hAnsi="宋体" w:cs="仿宋_GB2312"/>
                <w:sz w:val="24"/>
              </w:rPr>
            </w:pPr>
            <w:r>
              <w:rPr>
                <w:rFonts w:hint="eastAsia" w:ascii="宋体" w:hAnsi="宋体" w:cs="仿宋_GB2312"/>
                <w:sz w:val="24"/>
              </w:rPr>
              <w:t>负责系统调优和进一步的性能测试，并负责完成性能测试报告。</w:t>
            </w:r>
          </w:p>
          <w:p w14:paraId="6039AB48">
            <w:pPr>
              <w:widowControl/>
              <w:jc w:val="left"/>
              <w:rPr>
                <w:rFonts w:hint="eastAsia" w:ascii="宋体" w:hAnsi="宋体" w:cs="仿宋_GB2312"/>
                <w:sz w:val="24"/>
              </w:rPr>
            </w:pPr>
            <w:r>
              <w:rPr>
                <w:rFonts w:hint="eastAsia" w:ascii="宋体" w:hAnsi="宋体" w:cs="仿宋_GB2312"/>
                <w:sz w:val="24"/>
              </w:rPr>
              <w:t>（七）系统集成测试。</w:t>
            </w:r>
          </w:p>
          <w:p w14:paraId="1F6CD940">
            <w:pPr>
              <w:widowControl/>
              <w:jc w:val="left"/>
              <w:rPr>
                <w:rFonts w:hint="eastAsia" w:ascii="宋体" w:hAnsi="宋体" w:cs="仿宋_GB2312"/>
                <w:sz w:val="24"/>
              </w:rPr>
            </w:pPr>
            <w:r>
              <w:rPr>
                <w:rFonts w:hint="eastAsia" w:ascii="宋体" w:hAnsi="宋体" w:cs="仿宋_GB2312"/>
                <w:sz w:val="24"/>
              </w:rPr>
              <w:t>负责提出系统集成测试计划和方案。</w:t>
            </w:r>
          </w:p>
          <w:p w14:paraId="2DD73BE6">
            <w:pPr>
              <w:widowControl/>
              <w:jc w:val="left"/>
              <w:rPr>
                <w:rFonts w:hint="eastAsia" w:ascii="宋体" w:hAnsi="宋体" w:cs="仿宋_GB2312"/>
                <w:sz w:val="24"/>
              </w:rPr>
            </w:pPr>
            <w:r>
              <w:rPr>
                <w:rFonts w:hint="eastAsia" w:ascii="宋体" w:hAnsi="宋体" w:cs="仿宋_GB2312"/>
                <w:sz w:val="24"/>
              </w:rPr>
              <w:t>负责完成系统集成测试案例、测试脚本以及相关的测试数据。</w:t>
            </w:r>
          </w:p>
          <w:p w14:paraId="3521C39E">
            <w:pPr>
              <w:widowControl/>
              <w:jc w:val="left"/>
              <w:rPr>
                <w:rFonts w:hint="eastAsia" w:ascii="宋体" w:hAnsi="宋体" w:cs="仿宋_GB2312"/>
                <w:sz w:val="24"/>
              </w:rPr>
            </w:pPr>
            <w:r>
              <w:rPr>
                <w:rFonts w:hint="eastAsia" w:ascii="宋体" w:hAnsi="宋体" w:cs="仿宋_GB2312"/>
                <w:sz w:val="24"/>
              </w:rPr>
              <w:t>负责在进出口银行统一管理下执行系统集成测试，进行系统修补和必要的回归测试。</w:t>
            </w:r>
          </w:p>
          <w:p w14:paraId="6B5A4ECD">
            <w:pPr>
              <w:widowControl/>
              <w:jc w:val="left"/>
              <w:rPr>
                <w:rFonts w:hint="eastAsia" w:ascii="宋体" w:hAnsi="宋体" w:cs="仿宋_GB2312"/>
                <w:sz w:val="24"/>
              </w:rPr>
            </w:pPr>
            <w:r>
              <w:rPr>
                <w:rFonts w:hint="eastAsia" w:ascii="宋体" w:hAnsi="宋体" w:cs="仿宋_GB2312"/>
                <w:sz w:val="24"/>
              </w:rPr>
              <w:t>负责完成相应的系统集成测试报告。</w:t>
            </w:r>
          </w:p>
          <w:p w14:paraId="028DF67A">
            <w:pPr>
              <w:widowControl/>
              <w:jc w:val="left"/>
              <w:rPr>
                <w:rFonts w:hint="eastAsia" w:ascii="宋体" w:hAnsi="宋体" w:cs="仿宋_GB2312"/>
                <w:sz w:val="24"/>
              </w:rPr>
            </w:pPr>
            <w:r>
              <w:rPr>
                <w:rFonts w:hint="eastAsia" w:ascii="宋体" w:hAnsi="宋体" w:cs="仿宋_GB2312"/>
                <w:sz w:val="24"/>
              </w:rPr>
              <w:t>（八）用户验收测试。</w:t>
            </w:r>
          </w:p>
          <w:p w14:paraId="1B355E4B">
            <w:pPr>
              <w:widowControl/>
              <w:jc w:val="left"/>
              <w:rPr>
                <w:rFonts w:hint="eastAsia" w:ascii="宋体" w:hAnsi="宋体" w:cs="仿宋_GB2312"/>
                <w:sz w:val="24"/>
              </w:rPr>
            </w:pPr>
            <w:r>
              <w:rPr>
                <w:rFonts w:hint="eastAsia" w:ascii="宋体" w:hAnsi="宋体" w:cs="仿宋_GB2312"/>
                <w:sz w:val="24"/>
              </w:rPr>
              <w:t>协助提出用户验收测试计划和方案。</w:t>
            </w:r>
          </w:p>
          <w:p w14:paraId="696F3106">
            <w:pPr>
              <w:widowControl/>
              <w:jc w:val="left"/>
              <w:rPr>
                <w:rFonts w:hint="eastAsia" w:ascii="宋体" w:hAnsi="宋体" w:cs="仿宋_GB2312"/>
                <w:sz w:val="24"/>
              </w:rPr>
            </w:pPr>
            <w:r>
              <w:rPr>
                <w:rFonts w:hint="eastAsia" w:ascii="宋体" w:hAnsi="宋体" w:cs="仿宋_GB2312"/>
                <w:sz w:val="24"/>
              </w:rPr>
              <w:t>协助准备用户验收测试案例、测试脚本和数据。</w:t>
            </w:r>
          </w:p>
          <w:p w14:paraId="69B8927C">
            <w:pPr>
              <w:widowControl/>
              <w:jc w:val="left"/>
              <w:rPr>
                <w:rFonts w:hint="eastAsia" w:ascii="宋体" w:hAnsi="宋体" w:cs="仿宋_GB2312"/>
                <w:sz w:val="24"/>
              </w:rPr>
            </w:pPr>
            <w:r>
              <w:rPr>
                <w:rFonts w:hint="eastAsia" w:ascii="宋体" w:hAnsi="宋体" w:cs="仿宋_GB2312"/>
                <w:sz w:val="24"/>
              </w:rPr>
              <w:t>协助执行用户验收测试。</w:t>
            </w:r>
          </w:p>
          <w:p w14:paraId="68D8A10C">
            <w:pPr>
              <w:widowControl/>
              <w:jc w:val="left"/>
              <w:rPr>
                <w:rFonts w:hint="eastAsia" w:ascii="宋体" w:hAnsi="宋体" w:cs="仿宋_GB2312"/>
                <w:sz w:val="24"/>
              </w:rPr>
            </w:pPr>
            <w:r>
              <w:rPr>
                <w:rFonts w:hint="eastAsia" w:ascii="宋体" w:hAnsi="宋体" w:cs="仿宋_GB2312"/>
                <w:sz w:val="24"/>
              </w:rPr>
              <w:t>负责系统修补。</w:t>
            </w:r>
          </w:p>
          <w:p w14:paraId="59A728D1">
            <w:pPr>
              <w:widowControl/>
              <w:jc w:val="left"/>
              <w:rPr>
                <w:rFonts w:hint="eastAsia" w:ascii="宋体" w:hAnsi="宋体" w:cs="仿宋_GB2312"/>
                <w:sz w:val="24"/>
              </w:rPr>
            </w:pPr>
            <w:r>
              <w:rPr>
                <w:rFonts w:hint="eastAsia" w:ascii="宋体" w:hAnsi="宋体" w:cs="仿宋_GB2312"/>
                <w:sz w:val="24"/>
              </w:rPr>
              <w:t>协助进行回归测试、协助完成用户验收测试报告。</w:t>
            </w:r>
          </w:p>
          <w:p w14:paraId="7CD5C37F">
            <w:pPr>
              <w:widowControl/>
              <w:jc w:val="left"/>
              <w:rPr>
                <w:rFonts w:hint="eastAsia" w:ascii="宋体" w:hAnsi="宋体" w:cs="仿宋_GB2312"/>
                <w:sz w:val="24"/>
              </w:rPr>
            </w:pPr>
            <w:r>
              <w:rPr>
                <w:rFonts w:hint="eastAsia" w:ascii="宋体" w:hAnsi="宋体" w:cs="仿宋_GB2312"/>
                <w:sz w:val="24"/>
              </w:rPr>
              <w:t>（九）投产和推广（包括投产、试运行、正式运行、最终验收）。</w:t>
            </w:r>
          </w:p>
          <w:p w14:paraId="2FB9DCB8">
            <w:pPr>
              <w:widowControl/>
              <w:jc w:val="left"/>
              <w:rPr>
                <w:rFonts w:hint="eastAsia" w:ascii="宋体" w:hAnsi="宋体" w:cs="仿宋_GB2312"/>
                <w:sz w:val="24"/>
              </w:rPr>
            </w:pPr>
            <w:r>
              <w:rPr>
                <w:rFonts w:hint="eastAsia" w:ascii="宋体" w:hAnsi="宋体" w:cs="仿宋_GB2312"/>
                <w:sz w:val="24"/>
              </w:rPr>
              <w:t>根据需要负责制定上线演练计划和方案。</w:t>
            </w:r>
          </w:p>
          <w:p w14:paraId="085542CF">
            <w:pPr>
              <w:widowControl/>
              <w:jc w:val="left"/>
              <w:rPr>
                <w:rFonts w:hint="eastAsia" w:ascii="宋体" w:hAnsi="宋体" w:cs="仿宋_GB2312"/>
                <w:sz w:val="24"/>
              </w:rPr>
            </w:pPr>
            <w:r>
              <w:rPr>
                <w:rFonts w:hint="eastAsia" w:ascii="宋体" w:hAnsi="宋体" w:cs="仿宋_GB2312"/>
                <w:sz w:val="24"/>
              </w:rPr>
              <w:t>负责制定投产演练方案、运维测试方案，负责运维培训，配合行方完成投产演练和运维测试工作。</w:t>
            </w:r>
          </w:p>
          <w:p w14:paraId="49F0A902">
            <w:pPr>
              <w:widowControl/>
              <w:jc w:val="left"/>
              <w:rPr>
                <w:rFonts w:hint="eastAsia" w:ascii="宋体" w:hAnsi="宋体" w:cs="仿宋_GB2312"/>
                <w:sz w:val="24"/>
              </w:rPr>
            </w:pPr>
            <w:r>
              <w:rPr>
                <w:rFonts w:hint="eastAsia" w:ascii="宋体" w:hAnsi="宋体" w:cs="仿宋_GB2312"/>
                <w:sz w:val="24"/>
              </w:rPr>
              <w:t>在进出口银行统一管理下执行上线演练。</w:t>
            </w:r>
          </w:p>
          <w:p w14:paraId="30909934">
            <w:pPr>
              <w:widowControl/>
              <w:jc w:val="left"/>
              <w:rPr>
                <w:rFonts w:hint="eastAsia" w:ascii="宋体" w:hAnsi="宋体" w:cs="仿宋_GB2312"/>
                <w:sz w:val="24"/>
              </w:rPr>
            </w:pPr>
            <w:r>
              <w:rPr>
                <w:rFonts w:hint="eastAsia" w:ascii="宋体" w:hAnsi="宋体" w:cs="仿宋_GB2312"/>
                <w:sz w:val="24"/>
              </w:rPr>
              <w:t>负责制定投产上线范围、制定系统（数据、业务）投产上线计划。</w:t>
            </w:r>
          </w:p>
          <w:p w14:paraId="365233D0">
            <w:pPr>
              <w:widowControl/>
              <w:jc w:val="left"/>
              <w:rPr>
                <w:rFonts w:hint="eastAsia" w:ascii="宋体" w:hAnsi="宋体" w:cs="仿宋_GB2312"/>
                <w:sz w:val="24"/>
              </w:rPr>
            </w:pPr>
            <w:r>
              <w:rPr>
                <w:rFonts w:hint="eastAsia" w:ascii="宋体" w:hAnsi="宋体" w:cs="仿宋_GB2312"/>
                <w:sz w:val="24"/>
              </w:rPr>
              <w:t>负责制定投产上线操作方案、流程和策略，并制定应急和恢复方案。</w:t>
            </w:r>
          </w:p>
          <w:p w14:paraId="0A9A76D3">
            <w:pPr>
              <w:widowControl/>
              <w:jc w:val="left"/>
              <w:rPr>
                <w:rFonts w:hint="eastAsia" w:ascii="宋体" w:hAnsi="宋体" w:cs="仿宋_GB2312"/>
                <w:sz w:val="24"/>
              </w:rPr>
            </w:pPr>
            <w:r>
              <w:rPr>
                <w:rFonts w:hint="eastAsia" w:ascii="宋体" w:hAnsi="宋体" w:cs="仿宋_GB2312"/>
                <w:sz w:val="24"/>
              </w:rPr>
              <w:t>负责制定试运行方案、流程和策略，并制定应急和恢复方案。</w:t>
            </w:r>
          </w:p>
          <w:p w14:paraId="62CD4255">
            <w:pPr>
              <w:widowControl/>
              <w:jc w:val="left"/>
              <w:rPr>
                <w:rFonts w:hint="eastAsia" w:ascii="宋体" w:hAnsi="宋体" w:cs="仿宋_GB2312"/>
                <w:sz w:val="24"/>
              </w:rPr>
            </w:pPr>
            <w:r>
              <w:rPr>
                <w:rFonts w:hint="eastAsia" w:ascii="宋体" w:hAnsi="宋体" w:cs="仿宋_GB2312"/>
                <w:sz w:val="24"/>
              </w:rPr>
              <w:t>协助进出口银行进行推广文档编制。</w:t>
            </w:r>
          </w:p>
          <w:p w14:paraId="7776B43B">
            <w:pPr>
              <w:widowControl/>
              <w:jc w:val="left"/>
              <w:rPr>
                <w:rFonts w:hint="eastAsia" w:ascii="宋体" w:hAnsi="宋体" w:cs="仿宋_GB2312"/>
                <w:sz w:val="24"/>
              </w:rPr>
            </w:pPr>
            <w:r>
              <w:rPr>
                <w:rFonts w:hint="eastAsia" w:ascii="宋体" w:hAnsi="宋体" w:cs="仿宋_GB2312"/>
                <w:sz w:val="24"/>
              </w:rPr>
              <w:t>协助进出口银行完成投产上线。</w:t>
            </w:r>
          </w:p>
          <w:p w14:paraId="1FED3738">
            <w:pPr>
              <w:widowControl/>
              <w:jc w:val="left"/>
              <w:rPr>
                <w:rFonts w:hint="eastAsia" w:ascii="宋体" w:hAnsi="宋体" w:cs="仿宋_GB2312"/>
                <w:sz w:val="24"/>
              </w:rPr>
            </w:pPr>
            <w:r>
              <w:rPr>
                <w:rFonts w:hint="eastAsia" w:ascii="宋体" w:hAnsi="宋体" w:cs="仿宋_GB2312"/>
                <w:sz w:val="24"/>
              </w:rPr>
              <w:t>支持系统试运行工作。</w:t>
            </w:r>
          </w:p>
          <w:p w14:paraId="6A6C1584">
            <w:pPr>
              <w:widowControl/>
              <w:jc w:val="left"/>
              <w:rPr>
                <w:rFonts w:hint="eastAsia" w:ascii="宋体" w:hAnsi="宋体" w:cs="仿宋_GB2312"/>
                <w:sz w:val="24"/>
              </w:rPr>
            </w:pPr>
            <w:r>
              <w:rPr>
                <w:rFonts w:hint="eastAsia" w:ascii="宋体" w:hAnsi="宋体" w:cs="仿宋_GB2312"/>
                <w:sz w:val="24"/>
              </w:rPr>
              <w:t>协助进出口银行完成系统最终验收。</w:t>
            </w:r>
          </w:p>
          <w:p w14:paraId="4F824F4E">
            <w:pPr>
              <w:widowControl/>
              <w:jc w:val="left"/>
              <w:rPr>
                <w:rFonts w:hint="eastAsia" w:ascii="宋体" w:hAnsi="宋体" w:cs="仿宋_GB2312"/>
                <w:sz w:val="24"/>
              </w:rPr>
            </w:pPr>
            <w:r>
              <w:rPr>
                <w:rFonts w:hint="eastAsia" w:ascii="宋体" w:hAnsi="宋体" w:cs="仿宋_GB2312"/>
                <w:sz w:val="24"/>
              </w:rPr>
              <w:t>（十）第三方测试（如有）。</w:t>
            </w:r>
          </w:p>
          <w:p w14:paraId="552941D2">
            <w:pPr>
              <w:widowControl/>
              <w:jc w:val="left"/>
              <w:rPr>
                <w:rFonts w:hint="eastAsia" w:ascii="宋体" w:hAnsi="宋体" w:cs="仿宋_GB2312"/>
                <w:sz w:val="24"/>
              </w:rPr>
            </w:pPr>
            <w:r>
              <w:rPr>
                <w:rFonts w:hint="eastAsia" w:ascii="宋体" w:hAnsi="宋体" w:cs="仿宋_GB2312"/>
                <w:sz w:val="24"/>
              </w:rPr>
              <w:t>负责准备测试对象的搭建及调试。</w:t>
            </w:r>
          </w:p>
          <w:p w14:paraId="2ACEF101">
            <w:pPr>
              <w:widowControl/>
              <w:jc w:val="left"/>
              <w:rPr>
                <w:rFonts w:hint="eastAsia" w:ascii="宋体" w:hAnsi="宋体" w:cs="仿宋_GB2312"/>
                <w:sz w:val="24"/>
              </w:rPr>
            </w:pPr>
            <w:r>
              <w:rPr>
                <w:rFonts w:hint="eastAsia" w:ascii="宋体" w:hAnsi="宋体" w:cs="仿宋_GB2312"/>
                <w:sz w:val="24"/>
              </w:rPr>
              <w:t>负责按第三方测试要求准备测试数据。</w:t>
            </w:r>
          </w:p>
          <w:p w14:paraId="6000736D">
            <w:pPr>
              <w:widowControl/>
              <w:jc w:val="left"/>
              <w:rPr>
                <w:rFonts w:hint="eastAsia" w:ascii="宋体" w:hAnsi="宋体" w:cs="仿宋_GB2312"/>
                <w:sz w:val="24"/>
              </w:rPr>
            </w:pPr>
            <w:r>
              <w:rPr>
                <w:rFonts w:hint="eastAsia" w:ascii="宋体" w:hAnsi="宋体" w:cs="仿宋_GB2312"/>
                <w:sz w:val="24"/>
              </w:rPr>
              <w:t>为第三方测试提供技术支持。</w:t>
            </w:r>
          </w:p>
          <w:p w14:paraId="0C59020E">
            <w:pPr>
              <w:rPr>
                <w:rFonts w:hint="eastAsia" w:ascii="宋体" w:hAnsi="宋体" w:cs="仿宋_GB2312"/>
                <w:sz w:val="24"/>
              </w:rPr>
            </w:pPr>
            <w:r>
              <w:rPr>
                <w:rFonts w:hint="eastAsia" w:ascii="宋体" w:hAnsi="宋体" w:cs="仿宋_GB2312"/>
                <w:sz w:val="24"/>
              </w:rPr>
              <w:t>负责缺陷修复。</w:t>
            </w:r>
          </w:p>
        </w:tc>
      </w:tr>
      <w:tr w14:paraId="45B4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07D0D7DE">
            <w:pPr>
              <w:jc w:val="center"/>
              <w:rPr>
                <w:rFonts w:hint="eastAsia" w:ascii="宋体" w:hAnsi="宋体" w:cs="仿宋_GB2312"/>
                <w:sz w:val="24"/>
              </w:rPr>
            </w:pPr>
            <w:r>
              <w:rPr>
                <w:rFonts w:hint="eastAsia" w:ascii="宋体" w:hAnsi="宋体" w:cs="仿宋_GB2312"/>
                <w:sz w:val="24"/>
              </w:rPr>
              <w:t>5</w:t>
            </w:r>
          </w:p>
        </w:tc>
        <w:tc>
          <w:tcPr>
            <w:tcW w:w="1332" w:type="dxa"/>
            <w:vAlign w:val="center"/>
          </w:tcPr>
          <w:p w14:paraId="71F61B37">
            <w:pPr>
              <w:jc w:val="center"/>
              <w:rPr>
                <w:rFonts w:hint="eastAsia" w:ascii="宋体" w:hAnsi="宋体" w:cs="仿宋_GB2312"/>
                <w:sz w:val="24"/>
              </w:rPr>
            </w:pPr>
            <w:r>
              <w:rPr>
                <w:rFonts w:hint="eastAsia" w:ascii="宋体" w:hAnsi="宋体" w:cs="仿宋_GB2312"/>
                <w:sz w:val="24"/>
              </w:rPr>
              <w:t>培训及知识转移要求</w:t>
            </w:r>
          </w:p>
        </w:tc>
        <w:tc>
          <w:tcPr>
            <w:tcW w:w="6659" w:type="dxa"/>
          </w:tcPr>
          <w:p w14:paraId="097EF655">
            <w:pPr>
              <w:widowControl/>
              <w:jc w:val="left"/>
              <w:rPr>
                <w:rFonts w:hint="eastAsia" w:ascii="宋体" w:hAnsi="宋体" w:cs="仿宋_GB2312"/>
                <w:sz w:val="24"/>
              </w:rPr>
            </w:pPr>
            <w:r>
              <w:rPr>
                <w:rFonts w:hint="eastAsia" w:ascii="宋体" w:hAnsi="宋体" w:cs="仿宋_GB2312"/>
                <w:sz w:val="24"/>
              </w:rPr>
              <w:t>（一）培训对象：培训对象包括进出口银行的业务人员、开发人员、系统运行维护管理人员，以及进出口银行指定的其他相关人员。</w:t>
            </w:r>
          </w:p>
          <w:p w14:paraId="66BCDD57">
            <w:pPr>
              <w:widowControl/>
              <w:jc w:val="left"/>
              <w:rPr>
                <w:rFonts w:hint="eastAsia" w:ascii="宋体" w:hAnsi="宋体" w:cs="仿宋_GB2312"/>
                <w:sz w:val="24"/>
              </w:rPr>
            </w:pPr>
            <w:r>
              <w:rPr>
                <w:rFonts w:hint="eastAsia" w:ascii="宋体" w:hAnsi="宋体" w:cs="仿宋_GB2312"/>
                <w:sz w:val="24"/>
              </w:rPr>
              <w:t>（二）培训目标：通过培训，应使上述人员：掌握系统提供的内容和功能，以及使用权限划分与操作方式。</w:t>
            </w:r>
          </w:p>
          <w:p w14:paraId="768430DD">
            <w:pPr>
              <w:widowControl/>
              <w:jc w:val="left"/>
              <w:rPr>
                <w:rFonts w:hint="eastAsia" w:ascii="宋体" w:hAnsi="宋体" w:cs="仿宋_GB2312"/>
                <w:sz w:val="24"/>
              </w:rPr>
            </w:pPr>
            <w:r>
              <w:rPr>
                <w:rFonts w:hint="eastAsia" w:ascii="宋体" w:hAnsi="宋体" w:cs="仿宋_GB2312"/>
                <w:sz w:val="24"/>
              </w:rPr>
              <w:t>（三）培训内容：供应商应具有知识和技术转移的意愿，并阐述详细的实际措施，以对项目实施阶段的参与者及项目最终的使用、开发和运维团队进行全面、有效的知识转移。供应商需提供系统在配置、开发、安装、使用、监控和维护等方面的培训。供应商须详细列出各阶段培训的服务清单，服务清单包括培训内容、授课方式、培训对象、时间计划安排和培训反馈处理等，对项目实施阶段的参与者及项目最终的使用、开发和运维团队进行全面、有效的知识转移。</w:t>
            </w:r>
          </w:p>
          <w:p w14:paraId="48537B75">
            <w:pPr>
              <w:widowControl/>
              <w:jc w:val="left"/>
              <w:rPr>
                <w:rFonts w:hint="eastAsia" w:ascii="宋体" w:hAnsi="宋体" w:cs="仿宋_GB2312"/>
                <w:sz w:val="24"/>
              </w:rPr>
            </w:pPr>
            <w:r>
              <w:rPr>
                <w:rFonts w:hint="eastAsia" w:ascii="宋体" w:hAnsi="宋体" w:cs="仿宋_GB2312"/>
                <w:sz w:val="24"/>
              </w:rPr>
              <w:t>（四）培训材料：供应商为所有被培训人员提供完备的文字资料（书面及电子版）和讲义（书面及电子版）等相关用品。</w:t>
            </w:r>
          </w:p>
        </w:tc>
      </w:tr>
    </w:tbl>
    <w:p w14:paraId="260A85AA">
      <w:pPr>
        <w:spacing w:line="360" w:lineRule="auto"/>
        <w:ind w:firstLine="482" w:firstLineChars="200"/>
        <w:rPr>
          <w:rFonts w:hint="eastAsia" w:ascii="宋体" w:hAnsi="宋体" w:cs="楷体_GB2312"/>
          <w:b/>
          <w:bCs/>
          <w:sz w:val="24"/>
        </w:rPr>
      </w:pPr>
      <w:r>
        <w:rPr>
          <w:rFonts w:hint="eastAsia" w:ascii="宋体" w:hAnsi="宋体" w:cs="楷体_GB2312"/>
          <w:b/>
          <w:bCs/>
          <w:sz w:val="24"/>
        </w:rPr>
        <w:t>（二）主要交付物</w:t>
      </w:r>
    </w:p>
    <w:p w14:paraId="7CB6826D">
      <w:pPr>
        <w:spacing w:line="360" w:lineRule="auto"/>
        <w:ind w:firstLine="480" w:firstLineChars="200"/>
        <w:rPr>
          <w:rFonts w:hint="eastAsia" w:ascii="宋体" w:hAnsi="宋体" w:cs="宋体"/>
          <w:sz w:val="24"/>
        </w:rPr>
      </w:pPr>
      <w:r>
        <w:rPr>
          <w:rFonts w:hint="eastAsia" w:ascii="宋体" w:hAnsi="宋体" w:cs="宋体"/>
          <w:sz w:val="24"/>
        </w:rPr>
        <w:t>在项目工作书中明确交付物类型、内容及交付形式，包含但不限于以下内容。</w:t>
      </w:r>
    </w:p>
    <w:tbl>
      <w:tblPr>
        <w:tblStyle w:val="4"/>
        <w:tblW w:w="46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6699"/>
      </w:tblGrid>
      <w:tr w14:paraId="6C87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62" w:type="pct"/>
            <w:shd w:val="clear" w:color="auto" w:fill="BEBEBE"/>
            <w:vAlign w:val="center"/>
          </w:tcPr>
          <w:p w14:paraId="00B68E3B">
            <w:pPr>
              <w:jc w:val="center"/>
              <w:rPr>
                <w:rFonts w:hint="eastAsia" w:ascii="宋体" w:hAnsi="宋体" w:cs="仿宋_GB2312"/>
                <w:b/>
                <w:sz w:val="24"/>
              </w:rPr>
            </w:pPr>
            <w:r>
              <w:rPr>
                <w:rFonts w:hint="eastAsia" w:ascii="宋体" w:hAnsi="宋体" w:cs="仿宋_GB2312"/>
                <w:b/>
                <w:sz w:val="24"/>
              </w:rPr>
              <w:t>过程域</w:t>
            </w:r>
          </w:p>
        </w:tc>
        <w:tc>
          <w:tcPr>
            <w:tcW w:w="4238" w:type="pct"/>
            <w:shd w:val="clear" w:color="auto" w:fill="BEBEBE"/>
            <w:vAlign w:val="center"/>
          </w:tcPr>
          <w:p w14:paraId="767B2002">
            <w:pPr>
              <w:jc w:val="center"/>
              <w:rPr>
                <w:rFonts w:hint="eastAsia" w:ascii="宋体" w:hAnsi="宋体" w:cs="仿宋_GB2312"/>
                <w:b/>
                <w:sz w:val="24"/>
              </w:rPr>
            </w:pPr>
            <w:r>
              <w:rPr>
                <w:rFonts w:hint="eastAsia" w:ascii="宋体" w:hAnsi="宋体" w:cs="仿宋_GB2312"/>
                <w:b/>
                <w:sz w:val="24"/>
              </w:rPr>
              <w:t>文档</w:t>
            </w:r>
          </w:p>
        </w:tc>
      </w:tr>
      <w:tr w14:paraId="558C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restart"/>
            <w:vAlign w:val="center"/>
          </w:tcPr>
          <w:p w14:paraId="33577DAB">
            <w:pPr>
              <w:rPr>
                <w:rFonts w:hint="eastAsia" w:ascii="宋体" w:hAnsi="宋体" w:cs="仿宋_GB2312"/>
                <w:sz w:val="24"/>
              </w:rPr>
            </w:pPr>
            <w:r>
              <w:rPr>
                <w:rFonts w:hint="eastAsia" w:ascii="宋体" w:hAnsi="宋体" w:cs="仿宋_GB2312"/>
                <w:sz w:val="24"/>
              </w:rPr>
              <w:t>项目管理</w:t>
            </w:r>
          </w:p>
        </w:tc>
        <w:tc>
          <w:tcPr>
            <w:tcW w:w="4238" w:type="pct"/>
            <w:vAlign w:val="center"/>
          </w:tcPr>
          <w:p w14:paraId="3E7CD1E0">
            <w:pPr>
              <w:rPr>
                <w:rFonts w:hint="eastAsia" w:ascii="宋体" w:hAnsi="宋体" w:cs="仿宋_GB2312"/>
                <w:sz w:val="24"/>
              </w:rPr>
            </w:pPr>
            <w:r>
              <w:rPr>
                <w:rFonts w:hint="eastAsia" w:ascii="宋体" w:hAnsi="宋体" w:cs="仿宋_GB2312"/>
                <w:sz w:val="24"/>
              </w:rPr>
              <w:t>《项目详细实施计划》</w:t>
            </w:r>
          </w:p>
        </w:tc>
      </w:tr>
      <w:tr w14:paraId="661A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06460EF4">
            <w:pPr>
              <w:rPr>
                <w:rFonts w:hint="eastAsia" w:ascii="宋体" w:hAnsi="宋体" w:cs="仿宋_GB2312"/>
                <w:sz w:val="24"/>
              </w:rPr>
            </w:pPr>
          </w:p>
        </w:tc>
        <w:tc>
          <w:tcPr>
            <w:tcW w:w="4238" w:type="pct"/>
            <w:vAlign w:val="center"/>
          </w:tcPr>
          <w:p w14:paraId="48B86C2D">
            <w:pPr>
              <w:rPr>
                <w:rFonts w:hint="eastAsia" w:ascii="宋体" w:hAnsi="宋体" w:cs="仿宋_GB2312"/>
                <w:sz w:val="24"/>
              </w:rPr>
            </w:pPr>
            <w:r>
              <w:rPr>
                <w:rFonts w:hint="eastAsia" w:ascii="宋体" w:hAnsi="宋体" w:cs="仿宋_GB2312"/>
                <w:sz w:val="24"/>
              </w:rPr>
              <w:t>《项目质量审计报告》</w:t>
            </w:r>
          </w:p>
        </w:tc>
      </w:tr>
      <w:tr w14:paraId="0B42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2BC72414">
            <w:pPr>
              <w:rPr>
                <w:rFonts w:hint="eastAsia" w:ascii="宋体" w:hAnsi="宋体" w:cs="仿宋_GB2312"/>
                <w:sz w:val="24"/>
              </w:rPr>
            </w:pPr>
          </w:p>
        </w:tc>
        <w:tc>
          <w:tcPr>
            <w:tcW w:w="4238" w:type="pct"/>
            <w:vAlign w:val="center"/>
          </w:tcPr>
          <w:p w14:paraId="11BFEF0E">
            <w:pPr>
              <w:rPr>
                <w:rFonts w:hint="eastAsia" w:ascii="宋体" w:hAnsi="宋体" w:cs="仿宋_GB2312"/>
                <w:sz w:val="24"/>
              </w:rPr>
            </w:pPr>
            <w:r>
              <w:rPr>
                <w:rFonts w:hint="eastAsia" w:ascii="宋体" w:hAnsi="宋体" w:cs="仿宋_GB2312"/>
                <w:sz w:val="24"/>
              </w:rPr>
              <w:t>《关键人员简历》</w:t>
            </w:r>
            <w:r>
              <w:rPr>
                <w:rFonts w:hint="eastAsia" w:ascii="宋体" w:hAnsi="宋体" w:cs="仿宋_GB2312"/>
                <w:sz w:val="24"/>
              </w:rPr>
              <w:tab/>
            </w:r>
          </w:p>
        </w:tc>
      </w:tr>
      <w:tr w14:paraId="3BA0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18DE673C">
            <w:pPr>
              <w:rPr>
                <w:rFonts w:hint="eastAsia" w:ascii="宋体" w:hAnsi="宋体" w:cs="仿宋_GB2312"/>
                <w:sz w:val="24"/>
              </w:rPr>
            </w:pPr>
          </w:p>
        </w:tc>
        <w:tc>
          <w:tcPr>
            <w:tcW w:w="4238" w:type="pct"/>
            <w:vAlign w:val="center"/>
          </w:tcPr>
          <w:p w14:paraId="272B1A67">
            <w:pPr>
              <w:rPr>
                <w:rFonts w:hint="eastAsia" w:ascii="宋体" w:hAnsi="宋体" w:cs="仿宋_GB2312"/>
                <w:sz w:val="24"/>
              </w:rPr>
            </w:pPr>
            <w:r>
              <w:rPr>
                <w:rFonts w:hint="eastAsia" w:ascii="宋体" w:hAnsi="宋体" w:cs="仿宋_GB2312"/>
                <w:sz w:val="24"/>
              </w:rPr>
              <w:t>《关键人员人力资源变动报告》</w:t>
            </w:r>
          </w:p>
        </w:tc>
      </w:tr>
      <w:tr w14:paraId="08F1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2" w:type="pct"/>
            <w:vMerge w:val="continue"/>
            <w:vAlign w:val="center"/>
          </w:tcPr>
          <w:p w14:paraId="1BE71692">
            <w:pPr>
              <w:rPr>
                <w:rFonts w:hint="eastAsia" w:ascii="宋体" w:hAnsi="宋体" w:cs="仿宋_GB2312"/>
                <w:sz w:val="24"/>
              </w:rPr>
            </w:pPr>
          </w:p>
        </w:tc>
        <w:tc>
          <w:tcPr>
            <w:tcW w:w="4238" w:type="pct"/>
            <w:vAlign w:val="center"/>
          </w:tcPr>
          <w:p w14:paraId="0B59A3E7">
            <w:pPr>
              <w:rPr>
                <w:rFonts w:hint="eastAsia" w:ascii="宋体" w:hAnsi="宋体" w:cs="仿宋_GB2312"/>
                <w:sz w:val="24"/>
              </w:rPr>
            </w:pPr>
            <w:r>
              <w:rPr>
                <w:rFonts w:hint="eastAsia" w:ascii="宋体" w:hAnsi="宋体" w:cs="仿宋_GB2312"/>
                <w:sz w:val="24"/>
              </w:rPr>
              <w:t>项目状态报告：日常管理采用周报</w:t>
            </w:r>
          </w:p>
        </w:tc>
      </w:tr>
      <w:tr w14:paraId="62AB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restart"/>
            <w:vAlign w:val="center"/>
          </w:tcPr>
          <w:p w14:paraId="34A00126">
            <w:pPr>
              <w:rPr>
                <w:rFonts w:hint="eastAsia" w:ascii="宋体" w:hAnsi="宋体" w:cs="仿宋_GB2312"/>
                <w:sz w:val="24"/>
              </w:rPr>
            </w:pPr>
            <w:r>
              <w:rPr>
                <w:rFonts w:hint="eastAsia" w:ascii="宋体" w:hAnsi="宋体" w:cs="仿宋_GB2312"/>
                <w:sz w:val="24"/>
              </w:rPr>
              <w:t>需求分析</w:t>
            </w:r>
          </w:p>
        </w:tc>
        <w:tc>
          <w:tcPr>
            <w:tcW w:w="4238" w:type="pct"/>
          </w:tcPr>
          <w:p w14:paraId="7958E738">
            <w:pPr>
              <w:rPr>
                <w:rFonts w:hint="eastAsia" w:ascii="宋体" w:hAnsi="宋体" w:cs="仿宋_GB2312"/>
                <w:sz w:val="24"/>
              </w:rPr>
            </w:pPr>
            <w:r>
              <w:rPr>
                <w:rFonts w:hint="eastAsia" w:ascii="宋体" w:hAnsi="宋体" w:cs="仿宋_GB2312"/>
                <w:sz w:val="24"/>
              </w:rPr>
              <w:t>《功能需求规格说明书》</w:t>
            </w:r>
            <w:r>
              <w:rPr>
                <w:rFonts w:hint="eastAsia" w:ascii="宋体" w:hAnsi="宋体" w:cs="仿宋_GB2312"/>
                <w:sz w:val="24"/>
              </w:rPr>
              <w:tab/>
            </w:r>
          </w:p>
        </w:tc>
      </w:tr>
      <w:tr w14:paraId="46FB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5D462B93">
            <w:pPr>
              <w:rPr>
                <w:rFonts w:hint="eastAsia" w:ascii="宋体" w:hAnsi="宋体" w:cs="仿宋_GB2312"/>
                <w:sz w:val="24"/>
              </w:rPr>
            </w:pPr>
          </w:p>
        </w:tc>
        <w:tc>
          <w:tcPr>
            <w:tcW w:w="4238" w:type="pct"/>
          </w:tcPr>
          <w:p w14:paraId="68029AD7">
            <w:pPr>
              <w:rPr>
                <w:rFonts w:hint="eastAsia" w:ascii="宋体" w:hAnsi="宋体" w:cs="仿宋_GB2312"/>
                <w:sz w:val="24"/>
              </w:rPr>
            </w:pPr>
            <w:r>
              <w:rPr>
                <w:rFonts w:hint="eastAsia" w:ascii="宋体" w:hAnsi="宋体" w:cs="仿宋_GB2312"/>
                <w:sz w:val="24"/>
              </w:rPr>
              <w:t>《非功能需求规格说明书》（如有）</w:t>
            </w:r>
          </w:p>
        </w:tc>
      </w:tr>
      <w:tr w14:paraId="33C2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62" w:type="pct"/>
            <w:vMerge w:val="restart"/>
            <w:vAlign w:val="center"/>
          </w:tcPr>
          <w:p w14:paraId="285FDABE">
            <w:pPr>
              <w:rPr>
                <w:rFonts w:hint="eastAsia" w:ascii="宋体" w:hAnsi="宋体" w:cs="仿宋_GB2312"/>
                <w:sz w:val="24"/>
              </w:rPr>
            </w:pPr>
            <w:r>
              <w:rPr>
                <w:rFonts w:hint="eastAsia" w:ascii="宋体" w:hAnsi="宋体" w:cs="仿宋_GB2312"/>
                <w:sz w:val="24"/>
              </w:rPr>
              <w:t>设计</w:t>
            </w:r>
          </w:p>
        </w:tc>
        <w:tc>
          <w:tcPr>
            <w:tcW w:w="4238" w:type="pct"/>
          </w:tcPr>
          <w:p w14:paraId="005764CC">
            <w:pPr>
              <w:rPr>
                <w:rFonts w:hint="eastAsia" w:ascii="宋体" w:hAnsi="宋体" w:cs="仿宋_GB2312"/>
                <w:sz w:val="24"/>
              </w:rPr>
            </w:pPr>
            <w:r>
              <w:rPr>
                <w:rFonts w:hint="eastAsia" w:ascii="宋体" w:hAnsi="宋体" w:cs="仿宋_GB2312"/>
                <w:sz w:val="24"/>
              </w:rPr>
              <w:t>《概要设计说明书》</w:t>
            </w:r>
          </w:p>
        </w:tc>
      </w:tr>
      <w:tr w14:paraId="4D9C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62" w:type="pct"/>
            <w:vMerge w:val="continue"/>
            <w:vAlign w:val="center"/>
          </w:tcPr>
          <w:p w14:paraId="4BCCFE31">
            <w:pPr>
              <w:rPr>
                <w:rFonts w:hint="eastAsia" w:ascii="宋体" w:hAnsi="宋体" w:cs="仿宋_GB2312"/>
                <w:sz w:val="24"/>
              </w:rPr>
            </w:pPr>
          </w:p>
        </w:tc>
        <w:tc>
          <w:tcPr>
            <w:tcW w:w="4238" w:type="pct"/>
          </w:tcPr>
          <w:p w14:paraId="12407386">
            <w:pPr>
              <w:rPr>
                <w:rFonts w:hint="eastAsia" w:ascii="宋体" w:hAnsi="宋体" w:cs="仿宋_GB2312"/>
                <w:sz w:val="24"/>
              </w:rPr>
            </w:pPr>
            <w:r>
              <w:rPr>
                <w:rFonts w:hint="eastAsia" w:ascii="宋体" w:hAnsi="宋体" w:cs="仿宋_GB2312"/>
                <w:sz w:val="24"/>
              </w:rPr>
              <w:t>《详细设计说明书》</w:t>
            </w:r>
          </w:p>
        </w:tc>
      </w:tr>
      <w:tr w14:paraId="310A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62" w:type="pct"/>
            <w:vMerge w:val="continue"/>
            <w:vAlign w:val="center"/>
          </w:tcPr>
          <w:p w14:paraId="0901D0A8">
            <w:pPr>
              <w:rPr>
                <w:rFonts w:hint="eastAsia" w:ascii="宋体" w:hAnsi="宋体" w:cs="仿宋_GB2312"/>
                <w:sz w:val="24"/>
              </w:rPr>
            </w:pPr>
          </w:p>
        </w:tc>
        <w:tc>
          <w:tcPr>
            <w:tcW w:w="4238" w:type="pct"/>
          </w:tcPr>
          <w:p w14:paraId="25AE76A7">
            <w:pPr>
              <w:rPr>
                <w:rFonts w:hint="eastAsia" w:ascii="宋体" w:hAnsi="宋体" w:cs="仿宋_GB2312"/>
                <w:sz w:val="24"/>
              </w:rPr>
            </w:pPr>
            <w:r>
              <w:rPr>
                <w:rFonts w:hint="eastAsia" w:ascii="宋体" w:hAnsi="宋体" w:cs="仿宋_GB2312"/>
                <w:sz w:val="24"/>
              </w:rPr>
              <w:t>应用系统部署架构（如有）</w:t>
            </w:r>
          </w:p>
        </w:tc>
      </w:tr>
      <w:tr w14:paraId="33C7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62" w:type="pct"/>
            <w:vMerge w:val="continue"/>
            <w:vAlign w:val="center"/>
          </w:tcPr>
          <w:p w14:paraId="0266C7FC">
            <w:pPr>
              <w:rPr>
                <w:rFonts w:hint="eastAsia" w:ascii="宋体" w:hAnsi="宋体" w:cs="仿宋_GB2312"/>
                <w:sz w:val="24"/>
              </w:rPr>
            </w:pPr>
          </w:p>
        </w:tc>
        <w:tc>
          <w:tcPr>
            <w:tcW w:w="4238" w:type="pct"/>
          </w:tcPr>
          <w:p w14:paraId="3C12AEC4">
            <w:pPr>
              <w:rPr>
                <w:rFonts w:hint="eastAsia" w:ascii="宋体" w:hAnsi="宋体" w:cs="仿宋_GB2312"/>
                <w:sz w:val="24"/>
              </w:rPr>
            </w:pPr>
            <w:r>
              <w:rPr>
                <w:rFonts w:hint="eastAsia" w:ascii="宋体" w:hAnsi="宋体" w:cs="仿宋_GB2312"/>
                <w:sz w:val="24"/>
              </w:rPr>
              <w:t>基础软硬件配置清单（如有）</w:t>
            </w:r>
          </w:p>
        </w:tc>
      </w:tr>
      <w:tr w14:paraId="226D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restart"/>
            <w:vAlign w:val="center"/>
          </w:tcPr>
          <w:p w14:paraId="05971AB1">
            <w:pPr>
              <w:rPr>
                <w:rFonts w:hint="eastAsia" w:ascii="宋体" w:hAnsi="宋体" w:cs="仿宋_GB2312"/>
                <w:sz w:val="24"/>
              </w:rPr>
            </w:pPr>
            <w:r>
              <w:rPr>
                <w:rFonts w:hint="eastAsia" w:ascii="宋体" w:hAnsi="宋体" w:cs="仿宋_GB2312"/>
                <w:sz w:val="24"/>
              </w:rPr>
              <w:t>开发</w:t>
            </w:r>
          </w:p>
        </w:tc>
        <w:tc>
          <w:tcPr>
            <w:tcW w:w="4238" w:type="pct"/>
          </w:tcPr>
          <w:p w14:paraId="10E7A9E8">
            <w:pPr>
              <w:rPr>
                <w:rFonts w:hint="eastAsia" w:ascii="宋体" w:hAnsi="宋体" w:cs="仿宋_GB2312"/>
                <w:sz w:val="24"/>
              </w:rPr>
            </w:pPr>
            <w:r>
              <w:rPr>
                <w:rFonts w:hint="eastAsia" w:ascii="宋体" w:hAnsi="宋体" w:cs="仿宋_GB2312"/>
                <w:sz w:val="24"/>
              </w:rPr>
              <w:t>《单元测试案例》</w:t>
            </w:r>
          </w:p>
        </w:tc>
      </w:tr>
      <w:tr w14:paraId="023F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6D24FFDA">
            <w:pPr>
              <w:rPr>
                <w:rFonts w:hint="eastAsia" w:ascii="宋体" w:hAnsi="宋体" w:cs="仿宋_GB2312"/>
                <w:sz w:val="24"/>
              </w:rPr>
            </w:pPr>
          </w:p>
        </w:tc>
        <w:tc>
          <w:tcPr>
            <w:tcW w:w="4238" w:type="pct"/>
          </w:tcPr>
          <w:p w14:paraId="3F78396B">
            <w:pPr>
              <w:rPr>
                <w:rFonts w:hint="eastAsia" w:ascii="宋体" w:hAnsi="宋体" w:cs="仿宋_GB2312"/>
                <w:sz w:val="24"/>
              </w:rPr>
            </w:pPr>
            <w:r>
              <w:rPr>
                <w:rFonts w:hint="eastAsia" w:ascii="宋体" w:hAnsi="宋体" w:cs="仿宋_GB2312"/>
                <w:sz w:val="24"/>
              </w:rPr>
              <w:t>《系统内集成测试案例》</w:t>
            </w:r>
          </w:p>
        </w:tc>
      </w:tr>
      <w:tr w14:paraId="2C38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5C447771">
            <w:pPr>
              <w:rPr>
                <w:rFonts w:hint="eastAsia" w:ascii="宋体" w:hAnsi="宋体" w:cs="仿宋_GB2312"/>
                <w:sz w:val="24"/>
              </w:rPr>
            </w:pPr>
          </w:p>
        </w:tc>
        <w:tc>
          <w:tcPr>
            <w:tcW w:w="4238" w:type="pct"/>
          </w:tcPr>
          <w:p w14:paraId="49A724B6">
            <w:pPr>
              <w:rPr>
                <w:rFonts w:hint="eastAsia" w:ascii="宋体" w:hAnsi="宋体" w:cs="仿宋_GB2312"/>
                <w:sz w:val="24"/>
              </w:rPr>
            </w:pPr>
            <w:r>
              <w:rPr>
                <w:rFonts w:hint="eastAsia" w:ascii="宋体" w:hAnsi="宋体" w:cs="仿宋_GB2312"/>
                <w:sz w:val="24"/>
              </w:rPr>
              <w:t>《系统内集成测试报告》</w:t>
            </w:r>
          </w:p>
        </w:tc>
      </w:tr>
      <w:tr w14:paraId="0E73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restart"/>
            <w:vAlign w:val="center"/>
          </w:tcPr>
          <w:p w14:paraId="02DD934D">
            <w:pPr>
              <w:rPr>
                <w:rFonts w:hint="eastAsia" w:ascii="宋体" w:hAnsi="宋体" w:cs="仿宋_GB2312"/>
                <w:sz w:val="24"/>
              </w:rPr>
            </w:pPr>
            <w:r>
              <w:rPr>
                <w:rFonts w:hint="eastAsia" w:ascii="宋体" w:hAnsi="宋体" w:cs="仿宋_GB2312"/>
                <w:sz w:val="24"/>
              </w:rPr>
              <w:t>测试</w:t>
            </w:r>
          </w:p>
        </w:tc>
        <w:tc>
          <w:tcPr>
            <w:tcW w:w="4238" w:type="pct"/>
          </w:tcPr>
          <w:p w14:paraId="0968A44D">
            <w:pPr>
              <w:rPr>
                <w:rFonts w:hint="eastAsia" w:ascii="宋体" w:hAnsi="宋体" w:cs="仿宋_GB2312"/>
                <w:sz w:val="24"/>
              </w:rPr>
            </w:pPr>
            <w:r>
              <w:rPr>
                <w:rFonts w:hint="eastAsia" w:ascii="宋体" w:hAnsi="宋体" w:cs="仿宋_GB2312"/>
                <w:sz w:val="24"/>
              </w:rPr>
              <w:t>《应用组装测试案例》</w:t>
            </w:r>
          </w:p>
        </w:tc>
      </w:tr>
      <w:tr w14:paraId="1C33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0EA6D562">
            <w:pPr>
              <w:rPr>
                <w:rFonts w:hint="eastAsia" w:ascii="宋体" w:hAnsi="宋体" w:cs="仿宋_GB2312"/>
                <w:sz w:val="24"/>
              </w:rPr>
            </w:pPr>
          </w:p>
        </w:tc>
        <w:tc>
          <w:tcPr>
            <w:tcW w:w="4238" w:type="pct"/>
          </w:tcPr>
          <w:p w14:paraId="3154C5C4">
            <w:pPr>
              <w:rPr>
                <w:rFonts w:hint="eastAsia" w:ascii="宋体" w:hAnsi="宋体" w:cs="仿宋_GB2312"/>
                <w:sz w:val="24"/>
              </w:rPr>
            </w:pPr>
            <w:r>
              <w:rPr>
                <w:rFonts w:hint="eastAsia" w:ascii="宋体" w:hAnsi="宋体" w:cs="仿宋_GB2312"/>
                <w:sz w:val="24"/>
              </w:rPr>
              <w:t>《应用组装测试报告》</w:t>
            </w:r>
            <w:r>
              <w:rPr>
                <w:rFonts w:hint="eastAsia" w:ascii="宋体" w:hAnsi="宋体" w:cs="仿宋_GB2312"/>
                <w:sz w:val="24"/>
              </w:rPr>
              <w:tab/>
            </w:r>
          </w:p>
        </w:tc>
      </w:tr>
      <w:tr w14:paraId="030F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0641931F">
            <w:pPr>
              <w:rPr>
                <w:rFonts w:hint="eastAsia" w:ascii="宋体" w:hAnsi="宋体" w:cs="仿宋_GB2312"/>
                <w:sz w:val="24"/>
              </w:rPr>
            </w:pPr>
          </w:p>
        </w:tc>
        <w:tc>
          <w:tcPr>
            <w:tcW w:w="4238" w:type="pct"/>
          </w:tcPr>
          <w:p w14:paraId="1CB5BC8E">
            <w:pPr>
              <w:rPr>
                <w:rFonts w:hint="eastAsia" w:ascii="宋体" w:hAnsi="宋体" w:cs="仿宋_GB2312"/>
                <w:sz w:val="24"/>
              </w:rPr>
            </w:pPr>
            <w:r>
              <w:rPr>
                <w:rFonts w:hint="eastAsia" w:ascii="宋体" w:hAnsi="宋体" w:cs="仿宋_GB2312"/>
                <w:sz w:val="24"/>
              </w:rPr>
              <w:t>通过用户验收测试后的源代码</w:t>
            </w:r>
          </w:p>
        </w:tc>
      </w:tr>
      <w:tr w14:paraId="2547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restart"/>
            <w:vAlign w:val="center"/>
          </w:tcPr>
          <w:p w14:paraId="7F690CE9">
            <w:pPr>
              <w:rPr>
                <w:rFonts w:hint="eastAsia" w:ascii="宋体" w:hAnsi="宋体" w:cs="仿宋_GB2312"/>
                <w:sz w:val="24"/>
              </w:rPr>
            </w:pPr>
            <w:r>
              <w:rPr>
                <w:rFonts w:hint="eastAsia" w:ascii="宋体" w:hAnsi="宋体" w:cs="仿宋_GB2312"/>
                <w:sz w:val="24"/>
              </w:rPr>
              <w:t>业务培训</w:t>
            </w:r>
          </w:p>
        </w:tc>
        <w:tc>
          <w:tcPr>
            <w:tcW w:w="4238" w:type="pct"/>
          </w:tcPr>
          <w:p w14:paraId="7C2151AC">
            <w:pPr>
              <w:rPr>
                <w:rFonts w:hint="eastAsia" w:ascii="宋体" w:hAnsi="宋体" w:cs="仿宋_GB2312"/>
                <w:sz w:val="24"/>
              </w:rPr>
            </w:pPr>
            <w:r>
              <w:rPr>
                <w:rFonts w:hint="eastAsia" w:ascii="宋体" w:hAnsi="宋体" w:cs="仿宋_GB2312"/>
                <w:sz w:val="24"/>
              </w:rPr>
              <w:t>《培训讲义》（如有）</w:t>
            </w:r>
          </w:p>
        </w:tc>
      </w:tr>
      <w:tr w14:paraId="6027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385FEFA2">
            <w:pPr>
              <w:rPr>
                <w:rFonts w:hint="eastAsia" w:ascii="宋体" w:hAnsi="宋体" w:cs="仿宋_GB2312"/>
                <w:sz w:val="24"/>
              </w:rPr>
            </w:pPr>
          </w:p>
        </w:tc>
        <w:tc>
          <w:tcPr>
            <w:tcW w:w="4238" w:type="pct"/>
          </w:tcPr>
          <w:p w14:paraId="5378E647">
            <w:pPr>
              <w:rPr>
                <w:rFonts w:hint="eastAsia" w:ascii="宋体" w:hAnsi="宋体" w:cs="仿宋_GB2312"/>
                <w:sz w:val="24"/>
              </w:rPr>
            </w:pPr>
            <w:r>
              <w:rPr>
                <w:rFonts w:hint="eastAsia" w:ascii="宋体" w:hAnsi="宋体" w:cs="仿宋_GB2312"/>
                <w:sz w:val="24"/>
              </w:rPr>
              <w:t>《用户操作手册》（如有）</w:t>
            </w:r>
          </w:p>
        </w:tc>
      </w:tr>
      <w:tr w14:paraId="3448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Align w:val="center"/>
          </w:tcPr>
          <w:p w14:paraId="5688856B">
            <w:pPr>
              <w:rPr>
                <w:rFonts w:hint="eastAsia" w:ascii="宋体" w:hAnsi="宋体" w:cs="仿宋_GB2312"/>
                <w:sz w:val="24"/>
              </w:rPr>
            </w:pPr>
            <w:r>
              <w:rPr>
                <w:rFonts w:hint="eastAsia" w:ascii="宋体" w:hAnsi="宋体" w:cs="仿宋_GB2312"/>
                <w:sz w:val="24"/>
              </w:rPr>
              <w:t>技术培训</w:t>
            </w:r>
          </w:p>
        </w:tc>
        <w:tc>
          <w:tcPr>
            <w:tcW w:w="4238" w:type="pct"/>
          </w:tcPr>
          <w:p w14:paraId="4E7331C3">
            <w:pPr>
              <w:rPr>
                <w:rFonts w:hint="eastAsia" w:ascii="宋体" w:hAnsi="宋体" w:cs="仿宋_GB2312"/>
                <w:sz w:val="24"/>
              </w:rPr>
            </w:pPr>
            <w:r>
              <w:rPr>
                <w:rFonts w:hint="eastAsia" w:ascii="宋体" w:hAnsi="宋体" w:cs="仿宋_GB2312"/>
                <w:sz w:val="24"/>
              </w:rPr>
              <w:t>《培训讲义》（如有）</w:t>
            </w:r>
          </w:p>
        </w:tc>
      </w:tr>
      <w:tr w14:paraId="3B99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restart"/>
            <w:vAlign w:val="center"/>
          </w:tcPr>
          <w:p w14:paraId="6B18C39D">
            <w:pPr>
              <w:rPr>
                <w:rFonts w:hint="eastAsia" w:ascii="宋体" w:hAnsi="宋体" w:cs="仿宋_GB2312"/>
                <w:sz w:val="24"/>
              </w:rPr>
            </w:pPr>
            <w:r>
              <w:rPr>
                <w:rFonts w:hint="eastAsia" w:ascii="宋体" w:hAnsi="宋体" w:cs="仿宋_GB2312"/>
                <w:sz w:val="24"/>
              </w:rPr>
              <w:t>系统投产</w:t>
            </w:r>
          </w:p>
        </w:tc>
        <w:tc>
          <w:tcPr>
            <w:tcW w:w="4238" w:type="pct"/>
          </w:tcPr>
          <w:p w14:paraId="301548E2">
            <w:pPr>
              <w:rPr>
                <w:rFonts w:hint="eastAsia" w:ascii="宋体" w:hAnsi="宋体" w:cs="仿宋_GB2312"/>
                <w:sz w:val="24"/>
              </w:rPr>
            </w:pPr>
            <w:r>
              <w:rPr>
                <w:rFonts w:hint="eastAsia" w:ascii="宋体" w:hAnsi="宋体" w:cs="仿宋_GB2312"/>
                <w:sz w:val="24"/>
              </w:rPr>
              <w:t>《投产任务跟踪表》（按版本）</w:t>
            </w:r>
          </w:p>
        </w:tc>
      </w:tr>
      <w:tr w14:paraId="3E59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195370AC">
            <w:pPr>
              <w:rPr>
                <w:rFonts w:hint="eastAsia" w:ascii="宋体" w:hAnsi="宋体" w:cs="仿宋_GB2312"/>
                <w:sz w:val="24"/>
              </w:rPr>
            </w:pPr>
          </w:p>
        </w:tc>
        <w:tc>
          <w:tcPr>
            <w:tcW w:w="4238" w:type="pct"/>
          </w:tcPr>
          <w:p w14:paraId="311644C9">
            <w:pPr>
              <w:rPr>
                <w:rFonts w:hint="eastAsia" w:ascii="宋体" w:hAnsi="宋体" w:cs="仿宋_GB2312"/>
                <w:sz w:val="24"/>
              </w:rPr>
            </w:pPr>
            <w:r>
              <w:rPr>
                <w:rFonts w:hint="eastAsia" w:ascii="宋体" w:hAnsi="宋体" w:cs="仿宋_GB2312"/>
                <w:sz w:val="24"/>
              </w:rPr>
              <w:t>《操作控制表》</w:t>
            </w:r>
          </w:p>
        </w:tc>
      </w:tr>
      <w:tr w14:paraId="2CFB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103831E2">
            <w:pPr>
              <w:rPr>
                <w:rFonts w:hint="eastAsia" w:ascii="宋体" w:hAnsi="宋体" w:cs="仿宋_GB2312"/>
                <w:sz w:val="24"/>
              </w:rPr>
            </w:pPr>
          </w:p>
        </w:tc>
        <w:tc>
          <w:tcPr>
            <w:tcW w:w="4238" w:type="pct"/>
          </w:tcPr>
          <w:p w14:paraId="56DE65FE">
            <w:pPr>
              <w:rPr>
                <w:rFonts w:hint="eastAsia" w:ascii="宋体" w:hAnsi="宋体" w:cs="仿宋_GB2312"/>
                <w:sz w:val="24"/>
              </w:rPr>
            </w:pPr>
            <w:r>
              <w:rPr>
                <w:rFonts w:hint="eastAsia" w:ascii="宋体" w:hAnsi="宋体" w:cs="仿宋_GB2312"/>
                <w:sz w:val="24"/>
              </w:rPr>
              <w:t>待投产的应用程序版本</w:t>
            </w:r>
          </w:p>
        </w:tc>
      </w:tr>
      <w:tr w14:paraId="10A0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4FE70641">
            <w:pPr>
              <w:rPr>
                <w:rFonts w:hint="eastAsia" w:ascii="宋体" w:hAnsi="宋体" w:cs="仿宋_GB2312"/>
                <w:sz w:val="24"/>
              </w:rPr>
            </w:pPr>
          </w:p>
        </w:tc>
        <w:tc>
          <w:tcPr>
            <w:tcW w:w="4238" w:type="pct"/>
          </w:tcPr>
          <w:p w14:paraId="6CE7B890">
            <w:pPr>
              <w:rPr>
                <w:rFonts w:hint="eastAsia" w:ascii="宋体" w:hAnsi="宋体" w:cs="仿宋_GB2312"/>
                <w:sz w:val="24"/>
              </w:rPr>
            </w:pPr>
            <w:r>
              <w:rPr>
                <w:rFonts w:hint="eastAsia" w:ascii="宋体" w:hAnsi="宋体" w:cs="仿宋_GB2312"/>
                <w:sz w:val="24"/>
              </w:rPr>
              <w:t>《应急预案》（如有）</w:t>
            </w:r>
          </w:p>
        </w:tc>
      </w:tr>
      <w:tr w14:paraId="7AFA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72D213E8">
            <w:pPr>
              <w:rPr>
                <w:rFonts w:hint="eastAsia" w:ascii="宋体" w:hAnsi="宋体" w:cs="仿宋_GB2312"/>
                <w:sz w:val="24"/>
              </w:rPr>
            </w:pPr>
          </w:p>
        </w:tc>
        <w:tc>
          <w:tcPr>
            <w:tcW w:w="4238" w:type="pct"/>
          </w:tcPr>
          <w:p w14:paraId="005293BC">
            <w:pPr>
              <w:rPr>
                <w:rFonts w:hint="eastAsia" w:ascii="宋体" w:hAnsi="宋体" w:cs="仿宋_GB2312"/>
                <w:sz w:val="24"/>
              </w:rPr>
            </w:pPr>
            <w:r>
              <w:rPr>
                <w:rFonts w:hint="eastAsia" w:ascii="宋体" w:hAnsi="宋体" w:cs="仿宋_GB2312"/>
                <w:sz w:val="24"/>
              </w:rPr>
              <w:t>《投产报告》（按版本）</w:t>
            </w:r>
          </w:p>
        </w:tc>
      </w:tr>
      <w:tr w14:paraId="47E7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6FB05DA2">
            <w:pPr>
              <w:rPr>
                <w:rFonts w:hint="eastAsia" w:ascii="宋体" w:hAnsi="宋体" w:cs="仿宋_GB2312"/>
                <w:sz w:val="24"/>
              </w:rPr>
            </w:pPr>
          </w:p>
        </w:tc>
        <w:tc>
          <w:tcPr>
            <w:tcW w:w="4238" w:type="pct"/>
          </w:tcPr>
          <w:p w14:paraId="5C0506E9">
            <w:pPr>
              <w:rPr>
                <w:rFonts w:hint="eastAsia" w:ascii="宋体" w:hAnsi="宋体" w:cs="仿宋_GB2312"/>
                <w:sz w:val="24"/>
              </w:rPr>
            </w:pPr>
            <w:r>
              <w:rPr>
                <w:rFonts w:hint="eastAsia" w:ascii="宋体" w:hAnsi="宋体" w:cs="仿宋_GB2312"/>
                <w:sz w:val="24"/>
              </w:rPr>
              <w:t>《运维手册》、《日志报错代码表》、《批量手册》、《监控手册》、《知识库》（如有）</w:t>
            </w:r>
          </w:p>
        </w:tc>
      </w:tr>
      <w:tr w14:paraId="7D51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restart"/>
            <w:vAlign w:val="center"/>
          </w:tcPr>
          <w:p w14:paraId="058EE714">
            <w:pPr>
              <w:rPr>
                <w:rFonts w:hint="eastAsia" w:ascii="宋体" w:hAnsi="宋体" w:cs="仿宋_GB2312"/>
                <w:sz w:val="24"/>
              </w:rPr>
            </w:pPr>
            <w:r>
              <w:rPr>
                <w:rFonts w:hint="eastAsia" w:ascii="宋体" w:hAnsi="宋体" w:cs="仿宋_GB2312"/>
                <w:sz w:val="24"/>
              </w:rPr>
              <w:t>系统应用维护</w:t>
            </w:r>
          </w:p>
        </w:tc>
        <w:tc>
          <w:tcPr>
            <w:tcW w:w="4238" w:type="pct"/>
          </w:tcPr>
          <w:p w14:paraId="5643AD07">
            <w:pPr>
              <w:rPr>
                <w:rFonts w:hint="eastAsia" w:ascii="宋体" w:hAnsi="宋体" w:cs="仿宋_GB2312"/>
                <w:sz w:val="24"/>
              </w:rPr>
            </w:pPr>
            <w:r>
              <w:rPr>
                <w:rFonts w:hint="eastAsia" w:ascii="宋体" w:hAnsi="宋体" w:cs="仿宋_GB2312"/>
                <w:sz w:val="24"/>
              </w:rPr>
              <w:t>知识转移文档：《运维手册》（含《日志存储备份清理方案》等日常运维的必要件）、《日志报错代码表》、《批量手册》、《监控手册》（如有）</w:t>
            </w:r>
          </w:p>
        </w:tc>
      </w:tr>
      <w:tr w14:paraId="70EE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433F0EC0">
            <w:pPr>
              <w:rPr>
                <w:rFonts w:hint="eastAsia" w:ascii="宋体" w:hAnsi="宋体" w:cs="仿宋_GB2312"/>
                <w:sz w:val="24"/>
              </w:rPr>
            </w:pPr>
          </w:p>
        </w:tc>
        <w:tc>
          <w:tcPr>
            <w:tcW w:w="4238" w:type="pct"/>
          </w:tcPr>
          <w:p w14:paraId="6525A9C0">
            <w:pPr>
              <w:rPr>
                <w:rFonts w:hint="eastAsia" w:ascii="宋体" w:hAnsi="宋体" w:cs="仿宋_GB2312"/>
                <w:sz w:val="24"/>
              </w:rPr>
            </w:pPr>
            <w:r>
              <w:rPr>
                <w:rFonts w:hint="eastAsia" w:ascii="宋体" w:hAnsi="宋体" w:cs="仿宋_GB2312"/>
                <w:sz w:val="24"/>
              </w:rPr>
              <w:t>知识库（包含《上线运行问题报告和问题跟踪表》、《重大问题分析报告》（如有））</w:t>
            </w:r>
          </w:p>
        </w:tc>
      </w:tr>
      <w:tr w14:paraId="356D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76B440B4">
            <w:pPr>
              <w:rPr>
                <w:rFonts w:hint="eastAsia" w:ascii="宋体" w:hAnsi="宋体" w:cs="仿宋_GB2312"/>
                <w:sz w:val="24"/>
              </w:rPr>
            </w:pPr>
          </w:p>
        </w:tc>
        <w:tc>
          <w:tcPr>
            <w:tcW w:w="4238" w:type="pct"/>
          </w:tcPr>
          <w:p w14:paraId="7C233F95">
            <w:pPr>
              <w:rPr>
                <w:rFonts w:hint="eastAsia" w:ascii="宋体" w:hAnsi="宋体" w:cs="仿宋_GB2312"/>
                <w:sz w:val="24"/>
              </w:rPr>
            </w:pPr>
            <w:r>
              <w:rPr>
                <w:rFonts w:hint="eastAsia" w:ascii="宋体" w:hAnsi="宋体" w:cs="仿宋_GB2312"/>
                <w:sz w:val="24"/>
              </w:rPr>
              <w:t>《重保期总结报告》</w:t>
            </w:r>
          </w:p>
        </w:tc>
      </w:tr>
      <w:tr w14:paraId="7DBC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2" w:type="pct"/>
            <w:vMerge w:val="continue"/>
            <w:vAlign w:val="center"/>
          </w:tcPr>
          <w:p w14:paraId="564675A0">
            <w:pPr>
              <w:rPr>
                <w:rFonts w:hint="eastAsia" w:ascii="宋体" w:hAnsi="宋体" w:cs="仿宋_GB2312"/>
                <w:sz w:val="24"/>
              </w:rPr>
            </w:pPr>
          </w:p>
        </w:tc>
        <w:tc>
          <w:tcPr>
            <w:tcW w:w="4238" w:type="pct"/>
          </w:tcPr>
          <w:p w14:paraId="681B6346">
            <w:pPr>
              <w:rPr>
                <w:rFonts w:hint="eastAsia" w:ascii="宋体" w:hAnsi="宋体" w:cs="仿宋_GB2312"/>
                <w:sz w:val="24"/>
              </w:rPr>
            </w:pPr>
            <w:r>
              <w:rPr>
                <w:rFonts w:hint="eastAsia" w:ascii="宋体" w:hAnsi="宋体" w:cs="仿宋_GB2312"/>
                <w:sz w:val="24"/>
              </w:rPr>
              <w:t>《工作总结报告》</w:t>
            </w:r>
          </w:p>
        </w:tc>
      </w:tr>
    </w:tbl>
    <w:p w14:paraId="3ED69EED">
      <w:pPr>
        <w:keepNext/>
        <w:keepLines/>
        <w:numPr>
          <w:ilvl w:val="0"/>
          <w:numId w:val="3"/>
        </w:numPr>
        <w:adjustRightInd w:val="0"/>
        <w:spacing w:line="360" w:lineRule="auto"/>
        <w:ind w:firstLine="482" w:firstLineChars="200"/>
        <w:textAlignment w:val="baseline"/>
        <w:outlineLvl w:val="0"/>
        <w:rPr>
          <w:rFonts w:hint="eastAsia" w:ascii="宋体" w:hAnsi="宋体"/>
          <w:b/>
          <w:bCs/>
          <w:sz w:val="24"/>
        </w:rPr>
      </w:pPr>
      <w:bookmarkStart w:id="12" w:name="_Toc21316"/>
      <w:r>
        <w:rPr>
          <w:rFonts w:hint="eastAsia" w:ascii="宋体" w:hAnsi="宋体"/>
          <w:b/>
          <w:bCs/>
          <w:sz w:val="24"/>
        </w:rPr>
        <w:fldChar w:fldCharType="begin"/>
      </w:r>
      <w:r>
        <w:rPr>
          <w:rFonts w:hint="eastAsia" w:ascii="宋体" w:hAnsi="宋体"/>
          <w:b/>
          <w:bCs/>
          <w:sz w:val="24"/>
        </w:rPr>
        <w:instrText xml:space="preserve"> HYPERLINK \l _Toc29694 </w:instrText>
      </w:r>
      <w:r>
        <w:rPr>
          <w:rFonts w:hint="eastAsia" w:ascii="宋体" w:hAnsi="宋体"/>
          <w:b/>
          <w:bCs/>
          <w:sz w:val="24"/>
        </w:rPr>
        <w:fldChar w:fldCharType="separate"/>
      </w:r>
      <w:r>
        <w:rPr>
          <w:rFonts w:hint="eastAsia" w:ascii="宋体" w:hAnsi="宋体"/>
          <w:b/>
          <w:bCs/>
          <w:sz w:val="24"/>
        </w:rPr>
        <w:t>项目团队要求</w:t>
      </w:r>
      <w:r>
        <w:rPr>
          <w:rFonts w:hint="eastAsia" w:ascii="宋体" w:hAnsi="宋体"/>
          <w:b/>
          <w:bCs/>
          <w:sz w:val="24"/>
        </w:rPr>
        <w:fldChar w:fldCharType="end"/>
      </w:r>
      <w:bookmarkEnd w:id="12"/>
    </w:p>
    <w:p w14:paraId="4A9BB327">
      <w:pPr>
        <w:spacing w:line="360" w:lineRule="auto"/>
        <w:ind w:firstLine="480" w:firstLineChars="200"/>
        <w:rPr>
          <w:rFonts w:hint="eastAsia" w:ascii="宋体" w:hAnsi="宋体" w:cs="仿宋_GB2312"/>
          <w:sz w:val="24"/>
        </w:rPr>
      </w:pPr>
      <w:r>
        <w:rPr>
          <w:rFonts w:hint="eastAsia" w:ascii="宋体" w:hAnsi="宋体" w:cs="仿宋_GB2312"/>
          <w:sz w:val="24"/>
        </w:rPr>
        <w:t>具有类似项目系统相关实施经验；具备完成服务范围内各项工作的能力；团队中关键核心岗位人员（如项目经理）不得外包。</w:t>
      </w:r>
    </w:p>
    <w:p w14:paraId="4C3CECCD">
      <w:pPr>
        <w:spacing w:line="360" w:lineRule="auto"/>
        <w:ind w:firstLine="480" w:firstLineChars="200"/>
        <w:rPr>
          <w:rFonts w:hint="eastAsia" w:ascii="宋体" w:hAnsi="宋体" w:cs="仿宋_GB2312"/>
          <w:sz w:val="24"/>
        </w:rPr>
      </w:pPr>
      <w:r>
        <w:rPr>
          <w:rFonts w:hint="eastAsia" w:ascii="宋体" w:hAnsi="宋体" w:cs="仿宋_GB2312"/>
          <w:sz w:val="24"/>
        </w:rPr>
        <w:t>1.项目经理、关键技术人员应具有服务建设银行或其输出客户同类项目的工作经验，提供人员简历。如发生更换，对替代人员的工作经验要求相同。</w:t>
      </w:r>
    </w:p>
    <w:p w14:paraId="585561DE">
      <w:pPr>
        <w:spacing w:line="360" w:lineRule="auto"/>
        <w:ind w:firstLine="480" w:firstLineChars="200"/>
        <w:rPr>
          <w:rFonts w:hint="eastAsia" w:ascii="宋体" w:hAnsi="宋体" w:cs="仿宋_GB2312"/>
          <w:sz w:val="24"/>
        </w:rPr>
      </w:pPr>
      <w:r>
        <w:rPr>
          <w:rFonts w:hint="eastAsia" w:ascii="宋体" w:hAnsi="宋体" w:cs="仿宋_GB2312"/>
          <w:sz w:val="24"/>
        </w:rPr>
        <w:t>1.承诺进入项目组的关键核心岗位人员不得随意更换。如确实需要更换人员须经过采购人审核通过后方可换人。同时要求新换人员必须通过采购人的审核，且由供应商保证人员更换期间工作的连续性。其他岗位人员如有更换需书面告知采购人，并承诺不因此降低服务质量。</w:t>
      </w:r>
    </w:p>
    <w:p w14:paraId="5E9862FB">
      <w:pPr>
        <w:spacing w:line="360" w:lineRule="auto"/>
        <w:ind w:firstLine="480" w:firstLineChars="200"/>
        <w:rPr>
          <w:rFonts w:hint="eastAsia" w:ascii="宋体" w:hAnsi="宋体" w:cs="仿宋_GB2312"/>
          <w:sz w:val="24"/>
        </w:rPr>
      </w:pPr>
      <w:r>
        <w:rPr>
          <w:rFonts w:hint="eastAsia" w:ascii="宋体" w:hAnsi="宋体" w:cs="仿宋_GB2312"/>
          <w:sz w:val="24"/>
        </w:rPr>
        <w:t>2.承诺进入现场服务人员，</w:t>
      </w:r>
      <w:r>
        <w:rPr>
          <w:rFonts w:hint="eastAsia" w:ascii="宋体" w:hAnsi="宋体" w:cs="仿宋"/>
          <w:sz w:val="24"/>
        </w:rPr>
        <w:t>要提供人员简历、学历证明复印件及人员相关认证资质复印件，签署安全保密承诺书，并</w:t>
      </w:r>
      <w:r>
        <w:rPr>
          <w:rFonts w:hint="eastAsia" w:ascii="宋体" w:hAnsi="宋体" w:cs="仿宋_GB2312"/>
          <w:sz w:val="24"/>
        </w:rPr>
        <w:t>满足采购人管理要求：</w:t>
      </w:r>
    </w:p>
    <w:p w14:paraId="171A0F27">
      <w:pPr>
        <w:spacing w:line="360" w:lineRule="auto"/>
        <w:ind w:firstLine="480" w:firstLineChars="200"/>
        <w:rPr>
          <w:rFonts w:hint="eastAsia" w:ascii="宋体" w:hAnsi="宋体" w:cs="仿宋_GB2312"/>
          <w:sz w:val="24"/>
        </w:rPr>
      </w:pPr>
      <w:r>
        <w:rPr>
          <w:rFonts w:hint="eastAsia" w:ascii="宋体" w:hAnsi="宋体" w:cs="仿宋_GB2312"/>
          <w:sz w:val="24"/>
        </w:rPr>
        <w:t>（1）所有服务人员必须遵守采购人作息制度和相关工作制度规定，提供5*8小时驻场服务。</w:t>
      </w:r>
    </w:p>
    <w:p w14:paraId="5DC40815">
      <w:pPr>
        <w:spacing w:line="360" w:lineRule="auto"/>
        <w:ind w:firstLine="480" w:firstLineChars="200"/>
        <w:rPr>
          <w:rFonts w:hint="eastAsia" w:ascii="宋体" w:hAnsi="宋体" w:cs="仿宋_GB2312"/>
          <w:sz w:val="24"/>
        </w:rPr>
      </w:pPr>
      <w:r>
        <w:rPr>
          <w:rFonts w:hint="eastAsia" w:ascii="宋体" w:hAnsi="宋体" w:cs="仿宋_GB2312"/>
          <w:sz w:val="24"/>
        </w:rPr>
        <w:t>（2）服务期间，所有驻场服务人员必须严格按照采购人各项规章制度合规开展工作；驻场服务地点为采购人指定地点。</w:t>
      </w:r>
    </w:p>
    <w:p w14:paraId="44770151">
      <w:pPr>
        <w:spacing w:line="360" w:lineRule="auto"/>
        <w:ind w:firstLine="480" w:firstLineChars="200"/>
        <w:rPr>
          <w:rFonts w:hint="eastAsia" w:ascii="宋体" w:hAnsi="宋体" w:cs="仿宋_GB2312"/>
          <w:sz w:val="24"/>
        </w:rPr>
      </w:pPr>
      <w:r>
        <w:rPr>
          <w:rFonts w:hint="eastAsia" w:ascii="宋体" w:hAnsi="宋体" w:cs="仿宋_GB2312"/>
          <w:sz w:val="24"/>
        </w:rPr>
        <w:t>（3）任何服务人员不得随意更换。如果更换人员则供应商应提前1个月通知采购人，并经过采购人审核通过后方可换人。同时要求新换人员必须通过采购人的审核，且由供应商保证人员更换期间支持工作的连续性；</w:t>
      </w:r>
    </w:p>
    <w:p w14:paraId="247A6BA6">
      <w:pPr>
        <w:spacing w:line="360" w:lineRule="auto"/>
        <w:ind w:firstLine="480" w:firstLineChars="200"/>
        <w:rPr>
          <w:rFonts w:hint="eastAsia" w:ascii="宋体" w:hAnsi="宋体" w:cs="仿宋_GB2312"/>
          <w:sz w:val="24"/>
        </w:rPr>
      </w:pPr>
      <w:r>
        <w:rPr>
          <w:rFonts w:hint="eastAsia" w:ascii="宋体" w:hAnsi="宋体" w:cs="仿宋_GB2312"/>
          <w:sz w:val="24"/>
        </w:rPr>
        <w:t>（4）如果服务人员因违反采购人工作纪律或相关运行制度，并给采购人造成了损失，则供应商有责任进行赔偿，具体赔偿标准见合同。</w:t>
      </w:r>
    </w:p>
    <w:p w14:paraId="07809660">
      <w:pPr>
        <w:spacing w:line="360" w:lineRule="auto"/>
        <w:ind w:firstLine="480" w:firstLineChars="200"/>
        <w:rPr>
          <w:rFonts w:hint="eastAsia" w:ascii="宋体" w:hAnsi="宋体"/>
          <w:sz w:val="24"/>
        </w:rPr>
      </w:pPr>
      <w:r>
        <w:rPr>
          <w:rFonts w:hint="eastAsia" w:ascii="宋体" w:hAnsi="宋体" w:cs="仿宋_GB2312"/>
          <w:sz w:val="24"/>
        </w:rPr>
        <w:t>（5）根据支持效果，对于不能够胜任工作的人员，采购人有权利要求供应商重新进行调换。同时由供应商保证人员更换期间支持工作的连续性。</w:t>
      </w:r>
    </w:p>
    <w:p w14:paraId="1BD6FEA8">
      <w:pPr>
        <w:keepNext/>
        <w:keepLines/>
        <w:numPr>
          <w:ilvl w:val="0"/>
          <w:numId w:val="3"/>
        </w:numPr>
        <w:adjustRightInd w:val="0"/>
        <w:spacing w:line="360" w:lineRule="auto"/>
        <w:ind w:firstLine="482" w:firstLineChars="200"/>
        <w:textAlignment w:val="baseline"/>
        <w:outlineLvl w:val="0"/>
        <w:rPr>
          <w:rFonts w:hint="eastAsia" w:ascii="宋体" w:hAnsi="宋体"/>
          <w:b/>
          <w:bCs/>
          <w:sz w:val="24"/>
        </w:rPr>
      </w:pPr>
      <w:bookmarkStart w:id="13" w:name="_Toc29958"/>
      <w:bookmarkStart w:id="14" w:name="_Toc1526"/>
      <w:bookmarkStart w:id="15" w:name="_Toc21831"/>
      <w:bookmarkStart w:id="16" w:name="_Toc5761"/>
      <w:r>
        <w:rPr>
          <w:rFonts w:hint="eastAsia" w:ascii="宋体" w:hAnsi="宋体"/>
          <w:b/>
          <w:bCs/>
          <w:sz w:val="24"/>
        </w:rPr>
        <w:t>安全要求</w:t>
      </w:r>
      <w:bookmarkEnd w:id="13"/>
      <w:bookmarkEnd w:id="14"/>
    </w:p>
    <w:p w14:paraId="5B5319A7">
      <w:pPr>
        <w:adjustRightInd w:val="0"/>
        <w:spacing w:line="360" w:lineRule="auto"/>
        <w:ind w:firstLine="480" w:firstLineChars="200"/>
        <w:textAlignment w:val="baseline"/>
        <w:rPr>
          <w:rFonts w:hint="eastAsia" w:ascii="宋体" w:hAnsi="宋体"/>
          <w:sz w:val="24"/>
        </w:rPr>
      </w:pPr>
      <w:r>
        <w:rPr>
          <w:rFonts w:hint="eastAsia" w:ascii="宋体" w:hAnsi="宋体"/>
          <w:sz w:val="24"/>
        </w:rPr>
        <w:t>在未征得采购人同意的情况下，供应商供应商必须保证所提供的人员能够严格遵守各项规章制度，主要包括但不限于以下内容：</w:t>
      </w:r>
    </w:p>
    <w:p w14:paraId="54EB8DD5">
      <w:pPr>
        <w:adjustRightInd w:val="0"/>
        <w:spacing w:line="360" w:lineRule="auto"/>
        <w:ind w:firstLine="480" w:firstLineChars="200"/>
        <w:textAlignment w:val="baseline"/>
        <w:rPr>
          <w:rFonts w:hint="eastAsia" w:ascii="宋体" w:hAnsi="宋体"/>
          <w:sz w:val="24"/>
        </w:rPr>
      </w:pPr>
      <w:r>
        <w:rPr>
          <w:rFonts w:hint="eastAsia" w:ascii="宋体" w:hAnsi="宋体"/>
          <w:sz w:val="24"/>
        </w:rPr>
        <w:t>（一）法律合规方面，应有效规避实施过程中给采购人带来的法律风险。</w:t>
      </w:r>
    </w:p>
    <w:p w14:paraId="0415A680">
      <w:pPr>
        <w:adjustRightInd w:val="0"/>
        <w:spacing w:line="360" w:lineRule="auto"/>
        <w:ind w:firstLine="480" w:firstLineChars="200"/>
        <w:textAlignment w:val="baseline"/>
        <w:rPr>
          <w:rFonts w:hint="eastAsia" w:ascii="宋体" w:hAnsi="宋体"/>
          <w:sz w:val="24"/>
        </w:rPr>
      </w:pPr>
      <w:r>
        <w:rPr>
          <w:rFonts w:hint="eastAsia" w:ascii="宋体" w:hAnsi="宋体"/>
          <w:sz w:val="24"/>
        </w:rPr>
        <w:t>（二）信息安全方面，应有效规避因服务人员导致的银行信息（如业务数据和商务信息等）泄漏风险。</w:t>
      </w:r>
    </w:p>
    <w:p w14:paraId="7209D4FA">
      <w:pPr>
        <w:adjustRightInd w:val="0"/>
        <w:spacing w:line="360" w:lineRule="auto"/>
        <w:ind w:firstLine="480" w:firstLineChars="200"/>
        <w:textAlignment w:val="baseline"/>
        <w:rPr>
          <w:rFonts w:hint="eastAsia" w:ascii="宋体" w:hAnsi="宋体"/>
          <w:sz w:val="24"/>
        </w:rPr>
      </w:pPr>
      <w:r>
        <w:rPr>
          <w:rFonts w:hint="eastAsia" w:ascii="宋体" w:hAnsi="宋体"/>
          <w:sz w:val="24"/>
        </w:rPr>
        <w:t>（三）生产安全方面，应严格规避因人员操作不当，导致的银行系统出现安全性和稳定性风险事件。</w:t>
      </w:r>
    </w:p>
    <w:p w14:paraId="0FC29CE4">
      <w:pPr>
        <w:adjustRightInd w:val="0"/>
        <w:spacing w:line="360" w:lineRule="auto"/>
        <w:ind w:firstLine="480" w:firstLineChars="200"/>
        <w:textAlignment w:val="baseline"/>
        <w:rPr>
          <w:rFonts w:hint="eastAsia" w:ascii="宋体" w:hAnsi="宋体"/>
          <w:sz w:val="24"/>
        </w:rPr>
      </w:pPr>
      <w:r>
        <w:rPr>
          <w:rFonts w:hint="eastAsia" w:ascii="宋体" w:hAnsi="宋体"/>
          <w:sz w:val="24"/>
        </w:rPr>
        <w:t>（四）安全审计方面，应确保针对银行设备的相关操作留有纸质或视频记录。</w:t>
      </w:r>
    </w:p>
    <w:p w14:paraId="3374BBEF">
      <w:pPr>
        <w:adjustRightInd w:val="0"/>
        <w:spacing w:line="360" w:lineRule="auto"/>
        <w:ind w:firstLine="480" w:firstLineChars="200"/>
        <w:textAlignment w:val="baseline"/>
        <w:rPr>
          <w:rFonts w:hint="eastAsia" w:ascii="宋体" w:hAnsi="宋体"/>
          <w:sz w:val="24"/>
        </w:rPr>
      </w:pPr>
      <w:r>
        <w:rPr>
          <w:rFonts w:hint="eastAsia" w:ascii="宋体" w:hAnsi="宋体"/>
          <w:sz w:val="24"/>
        </w:rPr>
        <w:t>（五）</w:t>
      </w:r>
      <w:r>
        <w:rPr>
          <w:rFonts w:ascii="宋体" w:hAnsi="宋体"/>
          <w:sz w:val="24"/>
        </w:rPr>
        <w:t>保密</w:t>
      </w:r>
      <w:r>
        <w:rPr>
          <w:rFonts w:hint="eastAsia" w:ascii="宋体" w:hAnsi="宋体"/>
          <w:sz w:val="24"/>
        </w:rPr>
        <w:t>要求方面，</w:t>
      </w:r>
      <w:r>
        <w:rPr>
          <w:rFonts w:ascii="宋体" w:hAnsi="宋体"/>
          <w:sz w:val="24"/>
        </w:rPr>
        <w:t>供应商对项目实施中涉及到的相关数据、资料、文档等具有保密的义务，并应按照相应保密规定执行。本项目所形成的数据成果归</w:t>
      </w:r>
      <w:r>
        <w:rPr>
          <w:rFonts w:hint="eastAsia" w:ascii="宋体" w:hAnsi="宋体"/>
          <w:sz w:val="24"/>
        </w:rPr>
        <w:t>采购人</w:t>
      </w:r>
      <w:r>
        <w:rPr>
          <w:rFonts w:ascii="宋体" w:hAnsi="宋体"/>
          <w:sz w:val="24"/>
        </w:rPr>
        <w:t>所有。未经</w:t>
      </w:r>
      <w:r>
        <w:rPr>
          <w:rFonts w:hint="eastAsia" w:ascii="宋体" w:hAnsi="宋体"/>
          <w:sz w:val="24"/>
        </w:rPr>
        <w:t>采购人</w:t>
      </w:r>
      <w:r>
        <w:rPr>
          <w:rFonts w:ascii="宋体" w:hAnsi="宋体"/>
          <w:sz w:val="24"/>
        </w:rPr>
        <w:t>同意，供应商</w:t>
      </w:r>
      <w:r>
        <w:rPr>
          <w:rFonts w:hint="eastAsia" w:ascii="宋体" w:hAnsi="宋体"/>
          <w:sz w:val="24"/>
        </w:rPr>
        <w:t>不得向第三方泄露、公开或用于提供法律服务之外的其他目的，对掌握的采购人、采购人客户的资料，供应商应采取措施与其他客户资料施行有效隔离。</w:t>
      </w:r>
    </w:p>
    <w:p w14:paraId="612AB694">
      <w:pPr>
        <w:keepNext/>
        <w:keepLines/>
        <w:numPr>
          <w:ilvl w:val="0"/>
          <w:numId w:val="3"/>
        </w:numPr>
        <w:adjustRightInd w:val="0"/>
        <w:spacing w:line="360" w:lineRule="auto"/>
        <w:ind w:firstLine="482" w:firstLineChars="200"/>
        <w:textAlignment w:val="baseline"/>
        <w:outlineLvl w:val="0"/>
        <w:rPr>
          <w:rFonts w:hint="eastAsia" w:ascii="宋体" w:hAnsi="宋体"/>
          <w:b/>
          <w:bCs/>
          <w:sz w:val="24"/>
        </w:rPr>
      </w:pPr>
      <w:r>
        <w:rPr>
          <w:rFonts w:hint="eastAsia" w:ascii="宋体" w:hAnsi="宋体"/>
          <w:b/>
          <w:bCs/>
          <w:sz w:val="24"/>
        </w:rPr>
        <w:t>交付或实施时间、地点</w:t>
      </w:r>
      <w:bookmarkEnd w:id="15"/>
      <w:bookmarkEnd w:id="16"/>
    </w:p>
    <w:p w14:paraId="3EAB34E4">
      <w:pPr>
        <w:adjustRightInd w:val="0"/>
        <w:spacing w:line="360" w:lineRule="auto"/>
        <w:ind w:firstLine="482" w:firstLineChars="200"/>
        <w:textAlignment w:val="baseline"/>
        <w:rPr>
          <w:rFonts w:hint="eastAsia" w:ascii="宋体" w:hAnsi="宋体" w:cs="楷体_GB2312"/>
          <w:b/>
          <w:bCs/>
          <w:sz w:val="24"/>
        </w:rPr>
      </w:pPr>
      <w:r>
        <w:rPr>
          <w:rFonts w:hint="eastAsia" w:ascii="宋体" w:hAnsi="宋体" w:cs="楷体_GB2312"/>
          <w:b/>
          <w:bCs/>
          <w:sz w:val="24"/>
        </w:rPr>
        <w:t>（一）项目周期</w:t>
      </w:r>
    </w:p>
    <w:p w14:paraId="4918E299">
      <w:pPr>
        <w:adjustRightInd w:val="0"/>
        <w:spacing w:line="360" w:lineRule="auto"/>
        <w:ind w:firstLine="480" w:firstLineChars="200"/>
        <w:textAlignment w:val="baseline"/>
        <w:rPr>
          <w:rFonts w:hint="eastAsia" w:ascii="宋体" w:hAnsi="宋体" w:cs="仿宋_GB2312"/>
          <w:sz w:val="24"/>
        </w:rPr>
      </w:pPr>
      <w:r>
        <w:rPr>
          <w:rFonts w:hint="eastAsia" w:ascii="宋体" w:hAnsi="宋体"/>
          <w:sz w:val="24"/>
        </w:rPr>
        <w:t>订单服务期在下单时确定，自全部订单投产上线，重保期3个月，重保期结束</w:t>
      </w:r>
      <w:r>
        <w:rPr>
          <w:rFonts w:hint="eastAsia" w:ascii="宋体" w:hAnsi="宋体" w:cs="仿宋_GB2312"/>
          <w:sz w:val="24"/>
        </w:rPr>
        <w:t>满12个月通过最终验收之日止。</w:t>
      </w:r>
    </w:p>
    <w:p w14:paraId="5AB9E444">
      <w:pPr>
        <w:widowControl/>
        <w:adjustRightInd w:val="0"/>
        <w:spacing w:line="360" w:lineRule="auto"/>
        <w:ind w:firstLine="482" w:firstLineChars="200"/>
        <w:textAlignment w:val="baseline"/>
        <w:rPr>
          <w:rFonts w:hint="eastAsia" w:ascii="宋体" w:hAnsi="宋体" w:cs="楷体_GB2312"/>
          <w:b/>
          <w:bCs/>
          <w:sz w:val="24"/>
        </w:rPr>
      </w:pPr>
      <w:r>
        <w:rPr>
          <w:rFonts w:hint="eastAsia" w:ascii="宋体" w:hAnsi="宋体" w:cs="楷体_GB2312"/>
          <w:b/>
          <w:bCs/>
          <w:sz w:val="24"/>
        </w:rPr>
        <w:t>（二）服务地点</w:t>
      </w:r>
    </w:p>
    <w:p w14:paraId="2876F8FE">
      <w:pPr>
        <w:widowControl/>
        <w:adjustRightInd w:val="0"/>
        <w:spacing w:line="360" w:lineRule="auto"/>
        <w:ind w:firstLine="480" w:firstLineChars="200"/>
        <w:textAlignment w:val="baseline"/>
        <w:rPr>
          <w:rFonts w:hint="eastAsia" w:ascii="宋体" w:hAnsi="宋体"/>
          <w:sz w:val="24"/>
        </w:rPr>
      </w:pPr>
      <w:r>
        <w:rPr>
          <w:rFonts w:ascii="宋体" w:hAnsi="宋体"/>
          <w:sz w:val="24"/>
        </w:rPr>
        <w:t>中国进出口银行信息科技部</w:t>
      </w:r>
      <w:r>
        <w:rPr>
          <w:rFonts w:hint="eastAsia" w:ascii="宋体" w:hAnsi="宋体"/>
          <w:sz w:val="24"/>
        </w:rPr>
        <w:t>（北京或双方约定的其他地点）</w:t>
      </w:r>
      <w:r>
        <w:rPr>
          <w:rFonts w:ascii="宋体" w:hAnsi="宋体"/>
          <w:sz w:val="24"/>
        </w:rPr>
        <w:t>。</w:t>
      </w:r>
    </w:p>
    <w:p w14:paraId="773AFE83">
      <w:pPr>
        <w:keepNext/>
        <w:keepLines/>
        <w:numPr>
          <w:ilvl w:val="0"/>
          <w:numId w:val="3"/>
        </w:numPr>
        <w:adjustRightInd w:val="0"/>
        <w:spacing w:line="360" w:lineRule="auto"/>
        <w:ind w:firstLine="482" w:firstLineChars="200"/>
        <w:textAlignment w:val="baseline"/>
        <w:outlineLvl w:val="0"/>
        <w:rPr>
          <w:rFonts w:hint="eastAsia" w:ascii="宋体" w:hAnsi="宋体"/>
          <w:b/>
          <w:bCs/>
          <w:sz w:val="24"/>
        </w:rPr>
      </w:pPr>
      <w:bookmarkStart w:id="17" w:name="_Toc31739"/>
      <w:bookmarkStart w:id="18" w:name="_Toc27829"/>
      <w:r>
        <w:rPr>
          <w:rFonts w:hint="eastAsia" w:ascii="宋体" w:hAnsi="宋体"/>
          <w:b/>
          <w:bCs/>
          <w:sz w:val="24"/>
        </w:rPr>
        <w:t>财务支付要求</w:t>
      </w:r>
      <w:bookmarkEnd w:id="17"/>
    </w:p>
    <w:p w14:paraId="2D42EA6B">
      <w:pPr>
        <w:adjustRightInd w:val="0"/>
        <w:spacing w:line="360" w:lineRule="auto"/>
        <w:ind w:firstLine="480" w:firstLineChars="200"/>
        <w:textAlignment w:val="baseline"/>
        <w:rPr>
          <w:rFonts w:hint="eastAsia" w:ascii="宋体" w:hAnsi="宋体"/>
          <w:sz w:val="24"/>
        </w:rPr>
      </w:pPr>
      <w:r>
        <w:rPr>
          <w:rFonts w:hint="eastAsia" w:ascii="宋体" w:hAnsi="宋体"/>
          <w:sz w:val="24"/>
        </w:rPr>
        <w:t>按订单每半年进行款项支付。若服务到期结束或服务期内订单总金额达到项目投标总价，则不再发送订单。</w:t>
      </w:r>
    </w:p>
    <w:bookmarkEnd w:id="18"/>
    <w:tbl>
      <w:tblPr>
        <w:tblStyle w:val="4"/>
        <w:tblW w:w="9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467"/>
        <w:gridCol w:w="4921"/>
        <w:gridCol w:w="2505"/>
      </w:tblGrid>
      <w:tr w14:paraId="4D49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55" w:type="dxa"/>
            <w:vAlign w:val="center"/>
          </w:tcPr>
          <w:p w14:paraId="7B27C40A">
            <w:pPr>
              <w:widowControl/>
              <w:adjustRightInd w:val="0"/>
              <w:jc w:val="center"/>
              <w:textAlignment w:val="baseline"/>
              <w:rPr>
                <w:rFonts w:hint="eastAsia" w:ascii="宋体" w:hAnsi="宋体" w:cs="黑体"/>
                <w:sz w:val="24"/>
              </w:rPr>
            </w:pPr>
            <w:r>
              <w:rPr>
                <w:rFonts w:hint="eastAsia" w:ascii="宋体" w:hAnsi="宋体" w:cs="黑体"/>
                <w:sz w:val="24"/>
              </w:rPr>
              <w:t>序号</w:t>
            </w:r>
          </w:p>
        </w:tc>
        <w:tc>
          <w:tcPr>
            <w:tcW w:w="1467" w:type="dxa"/>
            <w:vAlign w:val="center"/>
          </w:tcPr>
          <w:p w14:paraId="3F98A42D">
            <w:pPr>
              <w:widowControl/>
              <w:adjustRightInd w:val="0"/>
              <w:jc w:val="center"/>
              <w:textAlignment w:val="baseline"/>
              <w:rPr>
                <w:rFonts w:hint="eastAsia" w:ascii="宋体" w:hAnsi="宋体" w:cs="黑体"/>
                <w:sz w:val="24"/>
              </w:rPr>
            </w:pPr>
            <w:r>
              <w:rPr>
                <w:rFonts w:hint="eastAsia" w:ascii="宋体" w:hAnsi="宋体" w:cs="黑体"/>
                <w:sz w:val="24"/>
              </w:rPr>
              <w:t>付款节点</w:t>
            </w:r>
          </w:p>
        </w:tc>
        <w:tc>
          <w:tcPr>
            <w:tcW w:w="4921" w:type="dxa"/>
            <w:vAlign w:val="center"/>
          </w:tcPr>
          <w:p w14:paraId="5DDF2597">
            <w:pPr>
              <w:widowControl/>
              <w:adjustRightInd w:val="0"/>
              <w:jc w:val="center"/>
              <w:textAlignment w:val="baseline"/>
              <w:rPr>
                <w:rFonts w:hint="eastAsia" w:ascii="宋体" w:hAnsi="宋体" w:cs="黑体"/>
                <w:sz w:val="24"/>
              </w:rPr>
            </w:pPr>
            <w:r>
              <w:rPr>
                <w:rFonts w:hint="eastAsia" w:ascii="宋体" w:hAnsi="宋体" w:cs="黑体"/>
                <w:sz w:val="24"/>
              </w:rPr>
              <w:t>付款条件</w:t>
            </w:r>
          </w:p>
        </w:tc>
        <w:tc>
          <w:tcPr>
            <w:tcW w:w="2505" w:type="dxa"/>
            <w:vAlign w:val="center"/>
          </w:tcPr>
          <w:p w14:paraId="54B20A7D">
            <w:pPr>
              <w:widowControl/>
              <w:adjustRightInd w:val="0"/>
              <w:jc w:val="center"/>
              <w:textAlignment w:val="baseline"/>
              <w:rPr>
                <w:rFonts w:hint="eastAsia" w:ascii="宋体" w:hAnsi="宋体" w:cs="黑体"/>
                <w:sz w:val="24"/>
              </w:rPr>
            </w:pPr>
            <w:r>
              <w:rPr>
                <w:rFonts w:hint="eastAsia" w:ascii="宋体" w:hAnsi="宋体" w:cs="黑体"/>
                <w:sz w:val="24"/>
              </w:rPr>
              <w:t>付款比例(或金额)</w:t>
            </w:r>
          </w:p>
        </w:tc>
      </w:tr>
      <w:tr w14:paraId="1171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55" w:type="dxa"/>
            <w:vAlign w:val="center"/>
          </w:tcPr>
          <w:p w14:paraId="0F6306B3">
            <w:pPr>
              <w:jc w:val="center"/>
              <w:rPr>
                <w:rFonts w:hint="eastAsia" w:ascii="宋体" w:hAnsi="宋体"/>
                <w:sz w:val="24"/>
              </w:rPr>
            </w:pPr>
            <w:r>
              <w:rPr>
                <w:rFonts w:ascii="宋体" w:hAnsi="宋体"/>
                <w:sz w:val="24"/>
              </w:rPr>
              <w:t>１</w:t>
            </w:r>
          </w:p>
        </w:tc>
        <w:tc>
          <w:tcPr>
            <w:tcW w:w="1467" w:type="dxa"/>
            <w:vAlign w:val="center"/>
          </w:tcPr>
          <w:p w14:paraId="6504A969">
            <w:pPr>
              <w:jc w:val="center"/>
              <w:rPr>
                <w:rFonts w:hint="eastAsia" w:ascii="宋体" w:hAnsi="宋体"/>
                <w:sz w:val="24"/>
              </w:rPr>
            </w:pPr>
            <w:r>
              <w:rPr>
                <w:rFonts w:ascii="宋体" w:hAnsi="宋体"/>
                <w:sz w:val="24"/>
              </w:rPr>
              <w:t>首付款</w:t>
            </w:r>
          </w:p>
        </w:tc>
        <w:tc>
          <w:tcPr>
            <w:tcW w:w="4921" w:type="dxa"/>
            <w:vAlign w:val="center"/>
          </w:tcPr>
          <w:p w14:paraId="7EE41DAC">
            <w:pPr>
              <w:jc w:val="left"/>
              <w:rPr>
                <w:rFonts w:hint="eastAsia" w:ascii="宋体" w:hAnsi="宋体"/>
                <w:sz w:val="24"/>
              </w:rPr>
            </w:pPr>
            <w:r>
              <w:rPr>
                <w:rFonts w:hint="eastAsia" w:ascii="宋体" w:hAnsi="宋体"/>
                <w:sz w:val="24"/>
              </w:rPr>
              <w:t>订单生效</w:t>
            </w:r>
            <w:r>
              <w:rPr>
                <w:rFonts w:ascii="宋体" w:hAnsi="宋体"/>
                <w:sz w:val="24"/>
              </w:rPr>
              <w:t>后，采购人在收到供应商出具的付款申请及相应金额经采购人认可的合法有效发票之日起</w:t>
            </w:r>
            <w:r>
              <w:rPr>
                <w:rFonts w:hint="eastAsia" w:ascii="宋体" w:hAnsi="宋体"/>
                <w:sz w:val="24"/>
              </w:rPr>
              <w:t>20个工作</w:t>
            </w:r>
            <w:r>
              <w:rPr>
                <w:rFonts w:ascii="宋体" w:hAnsi="宋体"/>
                <w:sz w:val="24"/>
              </w:rPr>
              <w:t>日内</w:t>
            </w:r>
          </w:p>
        </w:tc>
        <w:tc>
          <w:tcPr>
            <w:tcW w:w="2505" w:type="dxa"/>
            <w:vAlign w:val="center"/>
          </w:tcPr>
          <w:p w14:paraId="10534B58">
            <w:pPr>
              <w:jc w:val="left"/>
              <w:rPr>
                <w:rFonts w:hint="eastAsia" w:ascii="宋体" w:hAnsi="宋体"/>
                <w:sz w:val="24"/>
              </w:rPr>
            </w:pPr>
            <w:r>
              <w:rPr>
                <w:rFonts w:hint="eastAsia" w:ascii="宋体" w:hAnsi="宋体"/>
                <w:sz w:val="24"/>
              </w:rPr>
              <w:t>付款至订单</w:t>
            </w:r>
            <w:r>
              <w:rPr>
                <w:rFonts w:ascii="宋体" w:hAnsi="宋体"/>
                <w:sz w:val="24"/>
              </w:rPr>
              <w:t>金额的</w:t>
            </w:r>
            <w:r>
              <w:rPr>
                <w:rFonts w:hint="eastAsia" w:ascii="宋体" w:hAnsi="宋体"/>
                <w:sz w:val="24"/>
              </w:rPr>
              <w:t>5</w:t>
            </w:r>
            <w:r>
              <w:rPr>
                <w:rFonts w:ascii="宋体" w:hAnsi="宋体"/>
                <w:sz w:val="24"/>
              </w:rPr>
              <w:t>0%</w:t>
            </w:r>
          </w:p>
        </w:tc>
      </w:tr>
      <w:tr w14:paraId="67E4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55" w:type="dxa"/>
            <w:vAlign w:val="center"/>
          </w:tcPr>
          <w:p w14:paraId="5B1B882B">
            <w:pPr>
              <w:jc w:val="center"/>
              <w:rPr>
                <w:rFonts w:hint="eastAsia" w:ascii="宋体" w:hAnsi="宋体"/>
                <w:sz w:val="24"/>
              </w:rPr>
            </w:pPr>
            <w:r>
              <w:rPr>
                <w:rFonts w:hint="eastAsia" w:ascii="宋体" w:hAnsi="宋体"/>
                <w:sz w:val="24"/>
              </w:rPr>
              <w:t>2</w:t>
            </w:r>
          </w:p>
        </w:tc>
        <w:tc>
          <w:tcPr>
            <w:tcW w:w="1467" w:type="dxa"/>
            <w:vAlign w:val="center"/>
          </w:tcPr>
          <w:p w14:paraId="4A43B230">
            <w:pPr>
              <w:jc w:val="center"/>
              <w:rPr>
                <w:rFonts w:hint="eastAsia" w:ascii="宋体" w:hAnsi="宋体"/>
                <w:sz w:val="24"/>
              </w:rPr>
            </w:pPr>
            <w:r>
              <w:rPr>
                <w:rFonts w:hint="eastAsia" w:ascii="宋体" w:hAnsi="宋体"/>
                <w:sz w:val="24"/>
              </w:rPr>
              <w:t>验收款</w:t>
            </w:r>
          </w:p>
        </w:tc>
        <w:tc>
          <w:tcPr>
            <w:tcW w:w="4921" w:type="dxa"/>
            <w:vAlign w:val="center"/>
          </w:tcPr>
          <w:p w14:paraId="2217A9BD">
            <w:pPr>
              <w:jc w:val="left"/>
              <w:rPr>
                <w:rFonts w:hint="eastAsia" w:ascii="宋体" w:hAnsi="宋体"/>
                <w:sz w:val="24"/>
              </w:rPr>
            </w:pPr>
            <w:r>
              <w:rPr>
                <w:rFonts w:hint="eastAsia" w:ascii="宋体" w:hAnsi="宋体"/>
                <w:sz w:val="24"/>
              </w:rPr>
              <w:t>需求上线并通过验收后，采购人自收到供应商出具的付款申请及相应金额经采购人认可的合法有效发票之日起20个工作</w:t>
            </w:r>
            <w:r>
              <w:rPr>
                <w:rFonts w:ascii="宋体" w:hAnsi="宋体"/>
                <w:sz w:val="24"/>
              </w:rPr>
              <w:t>日内</w:t>
            </w:r>
          </w:p>
        </w:tc>
        <w:tc>
          <w:tcPr>
            <w:tcW w:w="2505" w:type="dxa"/>
            <w:vAlign w:val="center"/>
          </w:tcPr>
          <w:p w14:paraId="00D78A63">
            <w:pPr>
              <w:jc w:val="left"/>
              <w:rPr>
                <w:rFonts w:hint="eastAsia" w:ascii="宋体" w:hAnsi="宋体"/>
                <w:sz w:val="24"/>
              </w:rPr>
            </w:pPr>
            <w:r>
              <w:rPr>
                <w:rFonts w:hint="eastAsia" w:ascii="宋体" w:hAnsi="宋体"/>
                <w:sz w:val="24"/>
              </w:rPr>
              <w:t>付款至订单</w:t>
            </w:r>
            <w:r>
              <w:rPr>
                <w:rFonts w:ascii="宋体" w:hAnsi="宋体"/>
                <w:sz w:val="24"/>
              </w:rPr>
              <w:t>金额的</w:t>
            </w:r>
            <w:r>
              <w:rPr>
                <w:rFonts w:hint="eastAsia" w:ascii="宋体" w:hAnsi="宋体"/>
                <w:sz w:val="24"/>
              </w:rPr>
              <w:t>7</w:t>
            </w:r>
            <w:r>
              <w:rPr>
                <w:rFonts w:ascii="宋体" w:hAnsi="宋体"/>
                <w:sz w:val="24"/>
              </w:rPr>
              <w:t>0%</w:t>
            </w:r>
          </w:p>
        </w:tc>
      </w:tr>
      <w:tr w14:paraId="4A83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555" w:type="dxa"/>
            <w:vAlign w:val="center"/>
          </w:tcPr>
          <w:p w14:paraId="47DFFEC3">
            <w:pPr>
              <w:jc w:val="center"/>
              <w:rPr>
                <w:rFonts w:hint="eastAsia" w:ascii="宋体" w:hAnsi="宋体"/>
                <w:sz w:val="24"/>
              </w:rPr>
            </w:pPr>
            <w:r>
              <w:rPr>
                <w:rFonts w:hint="eastAsia" w:ascii="宋体" w:hAnsi="宋体"/>
                <w:sz w:val="24"/>
              </w:rPr>
              <w:t>3</w:t>
            </w:r>
          </w:p>
        </w:tc>
        <w:tc>
          <w:tcPr>
            <w:tcW w:w="1467" w:type="dxa"/>
            <w:vAlign w:val="center"/>
          </w:tcPr>
          <w:p w14:paraId="773D5B4C">
            <w:pPr>
              <w:jc w:val="center"/>
              <w:rPr>
                <w:rFonts w:hint="eastAsia" w:ascii="宋体" w:hAnsi="宋体"/>
                <w:sz w:val="24"/>
              </w:rPr>
            </w:pPr>
            <w:r>
              <w:rPr>
                <w:rFonts w:ascii="宋体" w:hAnsi="宋体"/>
                <w:sz w:val="24"/>
              </w:rPr>
              <w:t>尾</w:t>
            </w:r>
            <w:r>
              <w:rPr>
                <w:rFonts w:hint="eastAsia" w:ascii="宋体" w:hAnsi="宋体"/>
                <w:sz w:val="24"/>
              </w:rPr>
              <w:t xml:space="preserve">  </w:t>
            </w:r>
            <w:r>
              <w:rPr>
                <w:rFonts w:ascii="宋体" w:hAnsi="宋体"/>
                <w:sz w:val="24"/>
              </w:rPr>
              <w:t>款</w:t>
            </w:r>
          </w:p>
        </w:tc>
        <w:tc>
          <w:tcPr>
            <w:tcW w:w="4921" w:type="dxa"/>
            <w:vAlign w:val="center"/>
          </w:tcPr>
          <w:p w14:paraId="07E4785C">
            <w:pPr>
              <w:rPr>
                <w:rFonts w:hint="eastAsia" w:ascii="宋体" w:hAnsi="宋体"/>
                <w:sz w:val="24"/>
              </w:rPr>
            </w:pPr>
            <w:r>
              <w:rPr>
                <w:rFonts w:hint="eastAsia" w:ascii="宋体" w:hAnsi="宋体" w:cs="仿宋_GB2312"/>
                <w:sz w:val="24"/>
              </w:rPr>
              <w:t>重保期</w:t>
            </w:r>
            <w:r>
              <w:rPr>
                <w:rFonts w:ascii="宋体" w:hAnsi="宋体" w:cs="仿宋_GB2312"/>
                <w:sz w:val="24"/>
              </w:rPr>
              <w:t>结束</w:t>
            </w:r>
            <w:r>
              <w:rPr>
                <w:rFonts w:hint="eastAsia" w:ascii="宋体" w:hAnsi="宋体" w:cs="仿宋_GB2312"/>
                <w:sz w:val="24"/>
              </w:rPr>
              <w:t>满12个月，供应商提交工作总结报告并通过最终验收后，</w:t>
            </w:r>
            <w:r>
              <w:rPr>
                <w:rFonts w:hint="eastAsia" w:ascii="宋体" w:hAnsi="宋体"/>
                <w:sz w:val="24"/>
              </w:rPr>
              <w:t>采购人收到供应商出具的付款申请及相应金额经采购人认可的合法有效发票之日起20</w:t>
            </w:r>
            <w:r>
              <w:rPr>
                <w:rFonts w:ascii="宋体" w:hAnsi="宋体"/>
                <w:sz w:val="24"/>
              </w:rPr>
              <w:t>个工作日内</w:t>
            </w:r>
          </w:p>
        </w:tc>
        <w:tc>
          <w:tcPr>
            <w:tcW w:w="2505" w:type="dxa"/>
            <w:vAlign w:val="center"/>
          </w:tcPr>
          <w:p w14:paraId="62EA1DBD">
            <w:pPr>
              <w:jc w:val="left"/>
              <w:rPr>
                <w:rFonts w:hint="eastAsia" w:ascii="宋体" w:hAnsi="宋体"/>
                <w:sz w:val="24"/>
              </w:rPr>
            </w:pPr>
            <w:r>
              <w:rPr>
                <w:rFonts w:hint="eastAsia" w:ascii="宋体" w:hAnsi="宋体"/>
                <w:sz w:val="24"/>
              </w:rPr>
              <w:t>付款至订单</w:t>
            </w:r>
            <w:r>
              <w:rPr>
                <w:rFonts w:ascii="宋体" w:hAnsi="宋体"/>
                <w:sz w:val="24"/>
              </w:rPr>
              <w:t>金额的</w:t>
            </w:r>
            <w:r>
              <w:rPr>
                <w:rFonts w:hint="eastAsia" w:ascii="宋体" w:hAnsi="宋体"/>
                <w:sz w:val="24"/>
              </w:rPr>
              <w:t>10</w:t>
            </w:r>
            <w:r>
              <w:rPr>
                <w:rFonts w:ascii="宋体" w:hAnsi="宋体"/>
                <w:sz w:val="24"/>
              </w:rPr>
              <w:t>0%</w:t>
            </w:r>
          </w:p>
        </w:tc>
      </w:tr>
    </w:tbl>
    <w:p w14:paraId="3B1B928F">
      <w:pPr>
        <w:keepNext/>
        <w:keepLines/>
        <w:numPr>
          <w:ilvl w:val="0"/>
          <w:numId w:val="3"/>
        </w:numPr>
        <w:adjustRightInd w:val="0"/>
        <w:spacing w:line="360" w:lineRule="auto"/>
        <w:ind w:firstLine="482" w:firstLineChars="200"/>
        <w:textAlignment w:val="baseline"/>
        <w:outlineLvl w:val="0"/>
        <w:rPr>
          <w:rFonts w:hint="eastAsia" w:ascii="宋体" w:hAnsi="宋体"/>
          <w:b/>
          <w:bCs/>
          <w:sz w:val="24"/>
        </w:rPr>
      </w:pPr>
      <w:bookmarkStart w:id="19" w:name="_Toc29815"/>
      <w:bookmarkStart w:id="20" w:name="_Toc8242"/>
      <w:bookmarkStart w:id="21" w:name="_Toc4925"/>
      <w:r>
        <w:rPr>
          <w:rFonts w:hint="eastAsia" w:ascii="宋体" w:hAnsi="宋体"/>
          <w:b/>
          <w:bCs/>
          <w:sz w:val="24"/>
        </w:rPr>
        <w:t>履约验收方案</w:t>
      </w:r>
      <w:bookmarkEnd w:id="19"/>
      <w:bookmarkEnd w:id="20"/>
      <w:bookmarkEnd w:id="21"/>
    </w:p>
    <w:p w14:paraId="2BD24C05">
      <w:pPr>
        <w:adjustRightInd w:val="0"/>
        <w:spacing w:line="360" w:lineRule="auto"/>
        <w:ind w:firstLine="482" w:firstLineChars="200"/>
        <w:textAlignment w:val="baseline"/>
        <w:rPr>
          <w:rFonts w:hint="eastAsia" w:ascii="宋体" w:hAnsi="宋体" w:cs="楷体_GB2312"/>
          <w:b/>
          <w:bCs/>
          <w:sz w:val="24"/>
        </w:rPr>
      </w:pPr>
      <w:r>
        <w:rPr>
          <w:rFonts w:hint="eastAsia" w:ascii="宋体" w:hAnsi="宋体" w:cs="楷体_GB2312"/>
          <w:b/>
          <w:bCs/>
          <w:sz w:val="24"/>
        </w:rPr>
        <w:t>（一）履约验收的主体、时间、程序</w:t>
      </w:r>
    </w:p>
    <w:p w14:paraId="3DBB2E03">
      <w:pPr>
        <w:widowControl/>
        <w:adjustRightInd w:val="0"/>
        <w:spacing w:line="360" w:lineRule="auto"/>
        <w:ind w:firstLine="480" w:firstLineChars="200"/>
        <w:jc w:val="left"/>
        <w:textAlignment w:val="baseline"/>
        <w:rPr>
          <w:rFonts w:hint="eastAsia" w:ascii="宋体" w:hAnsi="宋体"/>
          <w:sz w:val="24"/>
        </w:rPr>
      </w:pPr>
      <w:r>
        <w:rPr>
          <w:rFonts w:hint="eastAsia" w:ascii="宋体" w:hAnsi="宋体"/>
          <w:sz w:val="24"/>
        </w:rPr>
        <w:t>1</w:t>
      </w:r>
      <w:r>
        <w:rPr>
          <w:rFonts w:ascii="宋体" w:hAnsi="宋体"/>
          <w:sz w:val="24"/>
        </w:rPr>
        <w:t>.验收主体</w:t>
      </w:r>
    </w:p>
    <w:p w14:paraId="50E10CE5">
      <w:pPr>
        <w:widowControl/>
        <w:adjustRightInd w:val="0"/>
        <w:spacing w:line="360" w:lineRule="auto"/>
        <w:ind w:firstLine="480" w:firstLineChars="200"/>
        <w:jc w:val="left"/>
        <w:textAlignment w:val="baseline"/>
        <w:rPr>
          <w:rFonts w:hint="eastAsia" w:ascii="宋体" w:hAnsi="宋体"/>
          <w:sz w:val="24"/>
        </w:rPr>
      </w:pPr>
      <w:r>
        <w:rPr>
          <w:rFonts w:ascii="宋体" w:hAnsi="宋体"/>
          <w:sz w:val="24"/>
        </w:rPr>
        <w:t>采购人组织验收。</w:t>
      </w:r>
    </w:p>
    <w:p w14:paraId="64B884EE">
      <w:pPr>
        <w:widowControl/>
        <w:adjustRightInd w:val="0"/>
        <w:spacing w:line="360" w:lineRule="auto"/>
        <w:ind w:firstLine="480" w:firstLineChars="200"/>
        <w:jc w:val="left"/>
        <w:textAlignment w:val="baseline"/>
        <w:rPr>
          <w:rFonts w:hint="eastAsia" w:ascii="宋体" w:hAnsi="宋体"/>
          <w:sz w:val="24"/>
        </w:rPr>
      </w:pPr>
      <w:r>
        <w:rPr>
          <w:rFonts w:hint="eastAsia" w:ascii="宋体" w:hAnsi="宋体"/>
          <w:sz w:val="24"/>
        </w:rPr>
        <w:t>2.验收</w:t>
      </w:r>
      <w:r>
        <w:rPr>
          <w:rFonts w:ascii="宋体" w:hAnsi="宋体"/>
          <w:sz w:val="24"/>
        </w:rPr>
        <w:t>时间</w:t>
      </w:r>
      <w:r>
        <w:rPr>
          <w:rFonts w:hint="eastAsia" w:ascii="宋体" w:hAnsi="宋体"/>
          <w:sz w:val="24"/>
        </w:rPr>
        <w:t>及程序</w:t>
      </w:r>
    </w:p>
    <w:p w14:paraId="15D09334">
      <w:pPr>
        <w:widowControl/>
        <w:adjustRightInd w:val="0"/>
        <w:spacing w:line="360" w:lineRule="auto"/>
        <w:ind w:firstLine="480" w:firstLineChars="200"/>
        <w:jc w:val="left"/>
        <w:textAlignment w:val="baseline"/>
        <w:rPr>
          <w:rFonts w:hint="eastAsia" w:ascii="宋体" w:hAnsi="宋体" w:cs="仿宋_GB2312"/>
          <w:sz w:val="24"/>
        </w:rPr>
      </w:pPr>
      <w:r>
        <w:rPr>
          <w:rFonts w:hint="eastAsia" w:ascii="宋体" w:hAnsi="宋体" w:cs="仿宋_GB2312"/>
          <w:sz w:val="24"/>
        </w:rPr>
        <w:t>首次验收时间：项目涉及系统投产上线完成并稳定运行满3个月，各项功能满足验收标准。</w:t>
      </w:r>
    </w:p>
    <w:p w14:paraId="7DABE537">
      <w:pPr>
        <w:widowControl/>
        <w:adjustRightInd w:val="0"/>
        <w:spacing w:line="360" w:lineRule="auto"/>
        <w:ind w:firstLine="480" w:firstLineChars="200"/>
        <w:jc w:val="left"/>
        <w:textAlignment w:val="baseline"/>
        <w:rPr>
          <w:rFonts w:hint="eastAsia" w:ascii="宋体" w:hAnsi="宋体" w:cs="仿宋_GB2312"/>
          <w:sz w:val="24"/>
        </w:rPr>
      </w:pPr>
      <w:r>
        <w:rPr>
          <w:rFonts w:hint="eastAsia" w:ascii="宋体" w:hAnsi="宋体" w:cs="仿宋_GB2312"/>
          <w:sz w:val="24"/>
        </w:rPr>
        <w:t>最终验收时间：重保期结束后满12个月，无遗留重大生产事件故障。</w:t>
      </w:r>
    </w:p>
    <w:p w14:paraId="46855914">
      <w:pPr>
        <w:spacing w:line="360" w:lineRule="auto"/>
        <w:ind w:firstLine="480" w:firstLineChars="200"/>
        <w:rPr>
          <w:rFonts w:hint="eastAsia" w:ascii="宋体" w:hAnsi="宋体"/>
          <w:sz w:val="24"/>
        </w:rPr>
      </w:pPr>
      <w:r>
        <w:rPr>
          <w:rFonts w:hint="eastAsia" w:ascii="宋体" w:hAnsi="宋体" w:cs="仿宋_GB2312"/>
          <w:sz w:val="24"/>
        </w:rPr>
        <w:t>验收程序：具备验收条件后，由供应商向采购人提出验收申请，采购人收到申请后，自行或授权第三方监理依照合同及本工作说明书对其工作进行验收评估，如验收评估中发现其工作存在瑕疵、问题或遗漏，供应商须按照采购人要求限时解决，解决后采购人再次进行验收。验收通过后，采购人出具验收报告。</w:t>
      </w:r>
    </w:p>
    <w:p w14:paraId="04B735E7">
      <w:pPr>
        <w:numPr>
          <w:ilvl w:val="0"/>
          <w:numId w:val="4"/>
        </w:numPr>
        <w:adjustRightInd w:val="0"/>
        <w:spacing w:line="360" w:lineRule="auto"/>
        <w:ind w:firstLine="482" w:firstLineChars="200"/>
        <w:textAlignment w:val="baseline"/>
        <w:rPr>
          <w:rFonts w:hint="eastAsia" w:ascii="宋体" w:hAnsi="宋体" w:cs="楷体_GB2312"/>
          <w:b/>
          <w:bCs/>
          <w:sz w:val="24"/>
        </w:rPr>
      </w:pPr>
      <w:r>
        <w:rPr>
          <w:rFonts w:hint="eastAsia" w:ascii="宋体" w:hAnsi="宋体" w:cs="楷体_GB2312"/>
          <w:b/>
          <w:bCs/>
          <w:sz w:val="24"/>
        </w:rPr>
        <w:t>履约验收内容和标准</w:t>
      </w:r>
    </w:p>
    <w:p w14:paraId="039B8609">
      <w:pPr>
        <w:spacing w:line="360" w:lineRule="auto"/>
        <w:ind w:firstLine="480" w:firstLineChars="200"/>
        <w:rPr>
          <w:rFonts w:hint="eastAsia" w:ascii="宋体" w:hAnsi="宋体" w:cs="仿宋_GB2312"/>
          <w:sz w:val="24"/>
        </w:rPr>
      </w:pPr>
      <w:r>
        <w:rPr>
          <w:rFonts w:hint="eastAsia" w:ascii="宋体" w:hAnsi="宋体" w:cs="仿宋_GB2312"/>
          <w:sz w:val="24"/>
        </w:rPr>
        <w:t>本项目按采购人计划前完成上线，供应商应严格按实施计划完成设计、开发、测试、投产等各阶段内容，并确保项目总体目标。</w:t>
      </w:r>
    </w:p>
    <w:p w14:paraId="0071B3B5">
      <w:pPr>
        <w:spacing w:line="360" w:lineRule="auto"/>
        <w:ind w:firstLine="200"/>
        <w:rPr>
          <w:rFonts w:hint="eastAsia" w:ascii="宋体" w:hAnsi="宋体" w:cs="仿宋_GB2312"/>
          <w:sz w:val="24"/>
        </w:rPr>
      </w:pPr>
      <w:bookmarkStart w:id="22" w:name="_Toc20402"/>
      <w:bookmarkStart w:id="23" w:name="_Toc6272"/>
      <w:r>
        <w:rPr>
          <w:rFonts w:hint="eastAsia" w:ascii="宋体" w:hAnsi="宋体" w:cs="仿宋_GB2312"/>
          <w:sz w:val="24"/>
        </w:rPr>
        <w:t>1.验收内容</w:t>
      </w:r>
    </w:p>
    <w:p w14:paraId="2507CF38">
      <w:pPr>
        <w:spacing w:line="360" w:lineRule="auto"/>
        <w:ind w:firstLine="200"/>
        <w:rPr>
          <w:rFonts w:hint="eastAsia" w:ascii="宋体" w:hAnsi="宋体" w:cs="仿宋_GB2312"/>
          <w:sz w:val="24"/>
        </w:rPr>
      </w:pPr>
      <w:r>
        <w:rPr>
          <w:rFonts w:hint="eastAsia" w:ascii="宋体" w:hAnsi="宋体" w:cs="仿宋_GB2312"/>
          <w:sz w:val="24"/>
        </w:rPr>
        <w:t>首次验收包括：</w:t>
      </w:r>
    </w:p>
    <w:p w14:paraId="37A54E1E">
      <w:pPr>
        <w:spacing w:line="360" w:lineRule="auto"/>
        <w:ind w:firstLine="200"/>
        <w:rPr>
          <w:rFonts w:hint="eastAsia" w:ascii="宋体" w:hAnsi="宋体" w:cs="仿宋_GB2312"/>
          <w:sz w:val="24"/>
        </w:rPr>
      </w:pPr>
      <w:r>
        <w:rPr>
          <w:rFonts w:hint="eastAsia" w:ascii="宋体" w:hAnsi="宋体" w:cs="仿宋_GB2312"/>
          <w:sz w:val="24"/>
        </w:rPr>
        <w:t>（1）交付件，包括文档资料、源代码等</w:t>
      </w:r>
    </w:p>
    <w:p w14:paraId="5BB2B1C5">
      <w:pPr>
        <w:spacing w:line="360" w:lineRule="auto"/>
        <w:ind w:firstLine="200"/>
        <w:rPr>
          <w:rFonts w:hint="eastAsia" w:ascii="宋体" w:hAnsi="宋体" w:cs="仿宋_GB2312"/>
          <w:sz w:val="24"/>
        </w:rPr>
      </w:pPr>
      <w:r>
        <w:rPr>
          <w:rFonts w:hint="eastAsia" w:ascii="宋体" w:hAnsi="宋体" w:cs="仿宋_GB2312"/>
          <w:sz w:val="24"/>
        </w:rPr>
        <w:t>（2）适配改造的物理子系统应用软件</w:t>
      </w:r>
    </w:p>
    <w:p w14:paraId="715AC50E">
      <w:pPr>
        <w:spacing w:line="360" w:lineRule="auto"/>
        <w:ind w:firstLine="200"/>
        <w:rPr>
          <w:rFonts w:hint="eastAsia" w:ascii="宋体" w:hAnsi="宋体" w:cs="仿宋_GB2312"/>
          <w:sz w:val="24"/>
        </w:rPr>
      </w:pPr>
      <w:r>
        <w:rPr>
          <w:rFonts w:hint="eastAsia" w:ascii="宋体" w:hAnsi="宋体" w:cs="仿宋_GB2312"/>
          <w:sz w:val="24"/>
        </w:rPr>
        <w:t>（3）以量化的SLA考核指标为依据，对供应商服务及项目完成情况进行量化评价</w:t>
      </w:r>
    </w:p>
    <w:p w14:paraId="424698E8">
      <w:pPr>
        <w:spacing w:line="360" w:lineRule="auto"/>
        <w:ind w:firstLine="480" w:firstLineChars="200"/>
        <w:rPr>
          <w:rFonts w:hint="eastAsia" w:ascii="宋体" w:hAnsi="宋体"/>
          <w:sz w:val="24"/>
        </w:rPr>
      </w:pPr>
      <w:r>
        <w:rPr>
          <w:rFonts w:hint="eastAsia" w:ascii="宋体" w:hAnsi="宋体" w:cs="仿宋_GB2312"/>
          <w:sz w:val="24"/>
        </w:rPr>
        <w:t>最终验收包括：工作总结报告等。</w:t>
      </w:r>
    </w:p>
    <w:p w14:paraId="2964C8A3">
      <w:pPr>
        <w:spacing w:line="360" w:lineRule="auto"/>
        <w:ind w:firstLine="200"/>
        <w:rPr>
          <w:rFonts w:hint="eastAsia" w:ascii="宋体" w:hAnsi="宋体" w:cs="仿宋_GB2312"/>
          <w:sz w:val="24"/>
        </w:rPr>
      </w:pPr>
      <w:r>
        <w:rPr>
          <w:rFonts w:hint="eastAsia" w:ascii="宋体" w:hAnsi="宋体" w:cs="仿宋_GB2312"/>
          <w:sz w:val="24"/>
        </w:rPr>
        <w:t>2.验收标准</w:t>
      </w:r>
    </w:p>
    <w:p w14:paraId="1A71CC37">
      <w:pPr>
        <w:spacing w:line="360" w:lineRule="auto"/>
        <w:ind w:firstLine="200"/>
        <w:rPr>
          <w:rFonts w:hint="eastAsia" w:ascii="宋体" w:hAnsi="宋体" w:cs="仿宋_GB2312"/>
          <w:sz w:val="24"/>
        </w:rPr>
      </w:pPr>
      <w:r>
        <w:rPr>
          <w:rFonts w:hint="eastAsia" w:ascii="宋体" w:hAnsi="宋体" w:cs="仿宋_GB2312"/>
          <w:sz w:val="24"/>
        </w:rPr>
        <w:t>（1）文档验收标准</w:t>
      </w:r>
    </w:p>
    <w:p w14:paraId="1AB419E6">
      <w:pPr>
        <w:numPr>
          <w:ilvl w:val="0"/>
          <w:numId w:val="5"/>
        </w:numPr>
        <w:spacing w:line="360" w:lineRule="auto"/>
        <w:ind w:left="0" w:firstLine="200"/>
        <w:rPr>
          <w:rFonts w:hint="eastAsia" w:ascii="宋体" w:hAnsi="宋体" w:cs="仿宋_GB2312"/>
          <w:sz w:val="24"/>
        </w:rPr>
      </w:pPr>
      <w:r>
        <w:rPr>
          <w:rFonts w:hint="eastAsia" w:ascii="宋体" w:hAnsi="宋体" w:cs="仿宋_GB2312"/>
          <w:sz w:val="24"/>
        </w:rPr>
        <w:t>文档内容应包含对应工作阶段的所有工作任务的最终成果</w:t>
      </w:r>
    </w:p>
    <w:p w14:paraId="0A523DB6">
      <w:pPr>
        <w:numPr>
          <w:ilvl w:val="0"/>
          <w:numId w:val="5"/>
        </w:numPr>
        <w:spacing w:line="360" w:lineRule="auto"/>
        <w:ind w:left="0" w:firstLine="200"/>
        <w:rPr>
          <w:rFonts w:hint="eastAsia" w:ascii="宋体" w:hAnsi="宋体" w:cs="仿宋_GB2312"/>
          <w:sz w:val="24"/>
        </w:rPr>
      </w:pPr>
      <w:r>
        <w:rPr>
          <w:rFonts w:hint="eastAsia" w:ascii="宋体" w:hAnsi="宋体" w:cs="仿宋_GB2312"/>
          <w:sz w:val="24"/>
        </w:rPr>
        <w:t>文档内容无重大分歧，进出口银行能够接受文档中的主要观点、认可文档中所体现的工作成果</w:t>
      </w:r>
    </w:p>
    <w:p w14:paraId="10162897">
      <w:pPr>
        <w:numPr>
          <w:ilvl w:val="0"/>
          <w:numId w:val="5"/>
        </w:numPr>
        <w:spacing w:line="360" w:lineRule="auto"/>
        <w:ind w:left="0" w:firstLine="200"/>
        <w:rPr>
          <w:rFonts w:hint="eastAsia" w:ascii="宋体" w:hAnsi="宋体" w:cs="仿宋_GB2312"/>
          <w:sz w:val="24"/>
        </w:rPr>
      </w:pPr>
      <w:r>
        <w:rPr>
          <w:rFonts w:hint="eastAsia" w:ascii="宋体" w:hAnsi="宋体" w:cs="仿宋_GB2312"/>
          <w:sz w:val="24"/>
        </w:rPr>
        <w:t>所有正式交付件表达清晰、内容完整，符合采购人要求。交付文档的描述不存在实质性的错误（包括不真实、遗漏、误差、以及对使用者可能产生误导的信息）；文字无重大或误导性错误</w:t>
      </w:r>
    </w:p>
    <w:p w14:paraId="3D1FE88C">
      <w:pPr>
        <w:numPr>
          <w:ilvl w:val="0"/>
          <w:numId w:val="5"/>
        </w:numPr>
        <w:spacing w:line="360" w:lineRule="auto"/>
        <w:ind w:left="0" w:firstLine="200"/>
        <w:rPr>
          <w:rFonts w:hint="eastAsia" w:ascii="宋体" w:hAnsi="宋体" w:cs="仿宋_GB2312"/>
          <w:sz w:val="24"/>
        </w:rPr>
      </w:pPr>
      <w:r>
        <w:rPr>
          <w:rFonts w:hint="eastAsia" w:ascii="宋体" w:hAnsi="宋体" w:cs="仿宋_GB2312"/>
          <w:sz w:val="24"/>
        </w:rPr>
        <w:t>文档交付齐备</w:t>
      </w:r>
    </w:p>
    <w:p w14:paraId="0C290579">
      <w:pPr>
        <w:numPr>
          <w:ilvl w:val="0"/>
          <w:numId w:val="5"/>
        </w:numPr>
        <w:spacing w:line="360" w:lineRule="auto"/>
        <w:ind w:left="0" w:firstLine="200"/>
        <w:rPr>
          <w:rFonts w:hint="eastAsia" w:ascii="宋体" w:hAnsi="宋体" w:cs="仿宋_GB2312"/>
          <w:sz w:val="24"/>
        </w:rPr>
      </w:pPr>
      <w:r>
        <w:rPr>
          <w:rFonts w:hint="eastAsia" w:ascii="宋体" w:hAnsi="宋体" w:cs="仿宋_GB2312"/>
          <w:sz w:val="24"/>
        </w:rPr>
        <w:t>除特别指明的并经采购人同意的英文提交文档之外，要求提供中文文档</w:t>
      </w:r>
    </w:p>
    <w:p w14:paraId="1CC3B8CB">
      <w:pPr>
        <w:numPr>
          <w:ilvl w:val="0"/>
          <w:numId w:val="5"/>
        </w:numPr>
        <w:spacing w:line="360" w:lineRule="auto"/>
        <w:ind w:left="0" w:firstLine="200"/>
        <w:rPr>
          <w:rFonts w:hint="eastAsia" w:ascii="宋体" w:hAnsi="宋体" w:cs="仿宋_GB2312"/>
          <w:sz w:val="24"/>
        </w:rPr>
      </w:pPr>
      <w:r>
        <w:rPr>
          <w:rFonts w:hint="eastAsia" w:ascii="宋体" w:hAnsi="宋体" w:cs="仿宋_GB2312"/>
          <w:sz w:val="24"/>
        </w:rPr>
        <w:t>提交项目全部交付件并通过采购人审核，在此基础上形成项目的《交付件交付情况一览表》，经过采购人核对认可</w:t>
      </w:r>
    </w:p>
    <w:p w14:paraId="1B950250">
      <w:pPr>
        <w:spacing w:line="360" w:lineRule="auto"/>
        <w:ind w:firstLine="200"/>
        <w:rPr>
          <w:rFonts w:hint="eastAsia" w:ascii="宋体" w:hAnsi="宋体" w:cs="仿宋_GB2312"/>
          <w:sz w:val="24"/>
        </w:rPr>
      </w:pPr>
      <w:r>
        <w:rPr>
          <w:rFonts w:hint="eastAsia" w:ascii="宋体" w:hAnsi="宋体" w:cs="仿宋_GB2312"/>
          <w:sz w:val="24"/>
        </w:rPr>
        <w:t>（2）系统验收标准</w:t>
      </w:r>
    </w:p>
    <w:p w14:paraId="3E86843D">
      <w:pPr>
        <w:numPr>
          <w:ilvl w:val="0"/>
          <w:numId w:val="5"/>
        </w:numPr>
        <w:spacing w:line="360" w:lineRule="auto"/>
        <w:ind w:left="0" w:firstLine="200"/>
        <w:rPr>
          <w:rFonts w:hint="eastAsia" w:ascii="宋体" w:hAnsi="宋体" w:cs="仿宋_GB2312"/>
          <w:sz w:val="24"/>
        </w:rPr>
      </w:pPr>
      <w:r>
        <w:rPr>
          <w:rFonts w:hint="eastAsia" w:ascii="宋体" w:hAnsi="宋体" w:cs="仿宋_GB2312"/>
          <w:sz w:val="24"/>
        </w:rPr>
        <w:t>系统符合项目工作说明书的要求</w:t>
      </w:r>
    </w:p>
    <w:p w14:paraId="498BF572">
      <w:pPr>
        <w:numPr>
          <w:ilvl w:val="0"/>
          <w:numId w:val="5"/>
        </w:numPr>
        <w:spacing w:line="360" w:lineRule="auto"/>
        <w:ind w:left="0" w:firstLine="200"/>
        <w:rPr>
          <w:rFonts w:hint="eastAsia" w:ascii="宋体" w:hAnsi="宋体" w:cs="仿宋_GB2312"/>
          <w:sz w:val="24"/>
        </w:rPr>
      </w:pPr>
      <w:r>
        <w:rPr>
          <w:rFonts w:hint="eastAsia" w:ascii="宋体" w:hAnsi="宋体" w:cs="仿宋_GB2312"/>
          <w:sz w:val="24"/>
        </w:rPr>
        <w:t>新增系统的安全等级保护基本要求满足国家标准和监管要求中对本系统的相应要求</w:t>
      </w:r>
    </w:p>
    <w:p w14:paraId="1953F5BA">
      <w:pPr>
        <w:numPr>
          <w:ilvl w:val="0"/>
          <w:numId w:val="5"/>
        </w:numPr>
        <w:spacing w:line="360" w:lineRule="auto"/>
        <w:ind w:left="0" w:firstLine="200"/>
        <w:rPr>
          <w:rFonts w:hint="eastAsia" w:ascii="宋体" w:hAnsi="宋体" w:cs="仿宋_GB2312"/>
          <w:sz w:val="24"/>
        </w:rPr>
      </w:pPr>
      <w:r>
        <w:rPr>
          <w:rFonts w:hint="eastAsia" w:ascii="宋体" w:hAnsi="宋体" w:cs="仿宋_GB2312"/>
          <w:sz w:val="24"/>
        </w:rPr>
        <w:t>系统通过用户接收测试，若有遗留问题须在本项目首次验收启动前解决</w:t>
      </w:r>
    </w:p>
    <w:p w14:paraId="450695D8">
      <w:pPr>
        <w:numPr>
          <w:ilvl w:val="0"/>
          <w:numId w:val="6"/>
        </w:numPr>
        <w:spacing w:line="360" w:lineRule="auto"/>
        <w:ind w:left="420" w:leftChars="200" w:firstLine="200"/>
        <w:rPr>
          <w:rFonts w:hint="eastAsia" w:ascii="宋体" w:hAnsi="宋体" w:cs="仿宋_GB2312"/>
          <w:sz w:val="24"/>
        </w:rPr>
      </w:pPr>
      <w:r>
        <w:rPr>
          <w:rFonts w:hint="eastAsia" w:ascii="宋体" w:hAnsi="宋体" w:cs="仿宋_GB2312"/>
          <w:sz w:val="24"/>
        </w:rPr>
        <w:t>SLA指标考核</w:t>
      </w:r>
    </w:p>
    <w:p w14:paraId="28AF5EEE">
      <w:pPr>
        <w:widowControl/>
        <w:spacing w:line="360" w:lineRule="auto"/>
        <w:ind w:firstLine="480" w:firstLineChars="200"/>
        <w:rPr>
          <w:rFonts w:hint="eastAsia" w:ascii="宋体" w:hAnsi="宋体"/>
          <w:sz w:val="24"/>
        </w:rPr>
      </w:pPr>
      <w:r>
        <w:rPr>
          <w:rFonts w:hint="eastAsia" w:ascii="宋体" w:hAnsi="宋体"/>
          <w:sz w:val="24"/>
        </w:rPr>
        <w:t>本项目发起验收时，进行SLA考核。指标项如下：</w:t>
      </w:r>
    </w:p>
    <w:tbl>
      <w:tblPr>
        <w:tblStyle w:val="6"/>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873"/>
        <w:gridCol w:w="1960"/>
        <w:gridCol w:w="4307"/>
        <w:gridCol w:w="876"/>
      </w:tblGrid>
      <w:tr w14:paraId="18F9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14:paraId="6AD993AB">
            <w:pPr>
              <w:widowControl/>
              <w:jc w:val="center"/>
              <w:rPr>
                <w:rFonts w:hint="eastAsia" w:ascii="宋体" w:hAnsi="宋体" w:cs="黑体"/>
                <w:kern w:val="0"/>
                <w:sz w:val="24"/>
                <w:lang w:val="en-GB"/>
              </w:rPr>
            </w:pPr>
            <w:r>
              <w:rPr>
                <w:rFonts w:hint="eastAsia" w:ascii="宋体" w:hAnsi="宋体" w:cs="黑体"/>
                <w:kern w:val="0"/>
                <w:sz w:val="24"/>
                <w:lang w:val="en-GB"/>
              </w:rPr>
              <w:t>序号</w:t>
            </w:r>
          </w:p>
        </w:tc>
        <w:tc>
          <w:tcPr>
            <w:tcW w:w="520" w:type="pct"/>
            <w:vAlign w:val="center"/>
          </w:tcPr>
          <w:p w14:paraId="380304B4">
            <w:pPr>
              <w:widowControl/>
              <w:jc w:val="center"/>
              <w:rPr>
                <w:rFonts w:hint="eastAsia" w:ascii="宋体" w:hAnsi="宋体" w:cs="黑体"/>
                <w:kern w:val="0"/>
                <w:sz w:val="24"/>
                <w:lang w:val="en-GB"/>
              </w:rPr>
            </w:pPr>
            <w:r>
              <w:rPr>
                <w:rFonts w:hint="eastAsia" w:ascii="宋体" w:hAnsi="宋体" w:cs="黑体"/>
                <w:kern w:val="0"/>
                <w:sz w:val="24"/>
                <w:lang w:val="en-GB"/>
              </w:rPr>
              <w:t>指标名称</w:t>
            </w:r>
          </w:p>
        </w:tc>
        <w:tc>
          <w:tcPr>
            <w:tcW w:w="1168" w:type="pct"/>
            <w:vAlign w:val="center"/>
          </w:tcPr>
          <w:p w14:paraId="66D83159">
            <w:pPr>
              <w:widowControl/>
              <w:jc w:val="center"/>
              <w:rPr>
                <w:rFonts w:hint="eastAsia" w:ascii="宋体" w:hAnsi="宋体" w:cs="黑体"/>
                <w:kern w:val="0"/>
                <w:sz w:val="24"/>
                <w:lang w:val="en-GB"/>
              </w:rPr>
            </w:pPr>
            <w:r>
              <w:rPr>
                <w:rFonts w:hint="eastAsia" w:ascii="宋体" w:hAnsi="宋体" w:cs="黑体"/>
                <w:kern w:val="0"/>
                <w:sz w:val="24"/>
                <w:lang w:val="en-GB"/>
              </w:rPr>
              <w:t>量化标准</w:t>
            </w:r>
          </w:p>
        </w:tc>
        <w:tc>
          <w:tcPr>
            <w:tcW w:w="2567" w:type="pct"/>
            <w:vAlign w:val="center"/>
          </w:tcPr>
          <w:p w14:paraId="0EEA19DF">
            <w:pPr>
              <w:widowControl/>
              <w:jc w:val="center"/>
              <w:rPr>
                <w:rFonts w:hint="eastAsia" w:ascii="宋体" w:hAnsi="宋体" w:cs="黑体"/>
                <w:kern w:val="0"/>
                <w:sz w:val="24"/>
                <w:lang w:val="en-GB"/>
              </w:rPr>
            </w:pPr>
            <w:r>
              <w:rPr>
                <w:rFonts w:hint="eastAsia" w:ascii="宋体" w:hAnsi="宋体" w:cs="黑体"/>
                <w:kern w:val="0"/>
                <w:sz w:val="24"/>
                <w:lang w:val="en-GB"/>
              </w:rPr>
              <w:t>评估方式</w:t>
            </w:r>
          </w:p>
          <w:p w14:paraId="45EF4120">
            <w:pPr>
              <w:widowControl/>
              <w:jc w:val="center"/>
              <w:rPr>
                <w:rFonts w:hint="eastAsia" w:ascii="宋体" w:hAnsi="宋体" w:cs="黑体"/>
                <w:kern w:val="0"/>
                <w:sz w:val="24"/>
                <w:lang w:val="en-GB"/>
              </w:rPr>
            </w:pPr>
            <w:r>
              <w:rPr>
                <w:rFonts w:hint="eastAsia" w:ascii="宋体" w:hAnsi="宋体" w:cs="黑体"/>
                <w:kern w:val="0"/>
                <w:sz w:val="24"/>
                <w:lang w:val="en-GB"/>
              </w:rPr>
              <w:t>（优100-良80-中60-差0）</w:t>
            </w:r>
          </w:p>
        </w:tc>
        <w:tc>
          <w:tcPr>
            <w:tcW w:w="520" w:type="pct"/>
            <w:vAlign w:val="center"/>
          </w:tcPr>
          <w:p w14:paraId="06A23C8C">
            <w:pPr>
              <w:widowControl/>
              <w:jc w:val="center"/>
              <w:rPr>
                <w:rFonts w:hint="eastAsia" w:ascii="宋体" w:hAnsi="宋体" w:cs="黑体"/>
                <w:kern w:val="0"/>
                <w:sz w:val="24"/>
                <w:lang w:val="en-GB"/>
              </w:rPr>
            </w:pPr>
            <w:r>
              <w:rPr>
                <w:rFonts w:hint="eastAsia" w:ascii="宋体" w:hAnsi="宋体" w:cs="黑体"/>
                <w:kern w:val="0"/>
                <w:sz w:val="24"/>
                <w:lang w:val="en-GB"/>
              </w:rPr>
              <w:t>指标占比</w:t>
            </w:r>
          </w:p>
        </w:tc>
      </w:tr>
      <w:tr w14:paraId="0FB7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14:paraId="385AE9F2">
            <w:pPr>
              <w:widowControl/>
              <w:jc w:val="center"/>
              <w:rPr>
                <w:rFonts w:hint="eastAsia" w:ascii="宋体" w:hAnsi="宋体" w:cs="仿宋_GB2312"/>
                <w:kern w:val="0"/>
                <w:sz w:val="24"/>
                <w:lang w:val="de-DE"/>
              </w:rPr>
            </w:pPr>
            <w:r>
              <w:rPr>
                <w:rFonts w:hint="eastAsia" w:ascii="宋体" w:hAnsi="宋体" w:cs="仿宋_GB2312"/>
                <w:kern w:val="0"/>
                <w:sz w:val="24"/>
                <w:lang w:val="de-DE"/>
              </w:rPr>
              <w:t>1</w:t>
            </w:r>
          </w:p>
        </w:tc>
        <w:tc>
          <w:tcPr>
            <w:tcW w:w="520" w:type="pct"/>
            <w:vAlign w:val="center"/>
          </w:tcPr>
          <w:p w14:paraId="12CDBFE9">
            <w:pPr>
              <w:widowControl/>
              <w:jc w:val="center"/>
              <w:rPr>
                <w:rFonts w:hint="eastAsia" w:ascii="宋体" w:hAnsi="宋体" w:cs="仿宋_GB2312"/>
                <w:kern w:val="0"/>
                <w:sz w:val="24"/>
                <w:lang w:val="de-DE"/>
              </w:rPr>
            </w:pPr>
            <w:r>
              <w:rPr>
                <w:rFonts w:hint="eastAsia" w:ascii="宋体" w:hAnsi="宋体" w:cs="仿宋_GB2312"/>
                <w:kern w:val="0"/>
                <w:sz w:val="24"/>
                <w:lang w:val="de-DE"/>
              </w:rPr>
              <w:t>本项目进度及计划执行率</w:t>
            </w:r>
          </w:p>
        </w:tc>
        <w:tc>
          <w:tcPr>
            <w:tcW w:w="1168" w:type="pct"/>
            <w:vAlign w:val="center"/>
          </w:tcPr>
          <w:p w14:paraId="7A47FCB2">
            <w:pPr>
              <w:widowControl/>
              <w:jc w:val="center"/>
              <w:rPr>
                <w:rFonts w:hint="eastAsia" w:ascii="宋体" w:hAnsi="宋体" w:cs="仿宋_GB2312"/>
                <w:kern w:val="0"/>
                <w:sz w:val="24"/>
                <w:lang w:val="de-DE"/>
              </w:rPr>
            </w:pPr>
            <w:r>
              <w:rPr>
                <w:rFonts w:hint="eastAsia" w:ascii="宋体" w:hAnsi="宋体" w:cs="仿宋_GB2312"/>
                <w:kern w:val="0"/>
                <w:sz w:val="24"/>
                <w:lang w:val="de-DE"/>
              </w:rPr>
              <w:t>各阶段累计工作延后完成天数/各阶段累计计划天数</w:t>
            </w:r>
          </w:p>
        </w:tc>
        <w:tc>
          <w:tcPr>
            <w:tcW w:w="2567" w:type="pct"/>
            <w:vAlign w:val="center"/>
          </w:tcPr>
          <w:p w14:paraId="36B63B91">
            <w:pPr>
              <w:widowControl/>
              <w:jc w:val="left"/>
              <w:rPr>
                <w:rFonts w:hint="eastAsia" w:ascii="宋体" w:hAnsi="宋体" w:cs="仿宋_GB2312"/>
                <w:kern w:val="0"/>
                <w:sz w:val="24"/>
                <w:lang w:val="en-GB"/>
              </w:rPr>
            </w:pPr>
            <w:r>
              <w:rPr>
                <w:rFonts w:hint="eastAsia" w:ascii="宋体" w:hAnsi="宋体" w:cs="仿宋_GB2312"/>
                <w:kern w:val="0"/>
                <w:sz w:val="24"/>
                <w:lang w:val="en-GB"/>
              </w:rPr>
              <w:t>1. 计划延误率</w:t>
            </w:r>
            <w:r>
              <w:rPr>
                <w:rFonts w:hint="eastAsia" w:ascii="宋体" w:hAnsi="宋体" w:cs="仿宋_GB2312"/>
                <w:kern w:val="0"/>
                <w:sz w:val="24"/>
              </w:rPr>
              <w:t>为0</w:t>
            </w:r>
            <w:r>
              <w:rPr>
                <w:rFonts w:hint="eastAsia" w:ascii="宋体" w:hAnsi="宋体" w:cs="仿宋_GB2312"/>
                <w:kern w:val="0"/>
                <w:sz w:val="24"/>
                <w:lang w:val="en-GB"/>
              </w:rPr>
              <w:t xml:space="preserve">        </w:t>
            </w:r>
            <w:r>
              <w:rPr>
                <w:rFonts w:hint="eastAsia" w:ascii="宋体" w:hAnsi="宋体" w:cs="仿宋_GB2312"/>
                <w:kern w:val="0"/>
                <w:sz w:val="24"/>
              </w:rPr>
              <w:t xml:space="preserve"> </w:t>
            </w:r>
            <w:r>
              <w:rPr>
                <w:rFonts w:hint="eastAsia" w:ascii="宋体" w:hAnsi="宋体" w:cs="仿宋_GB2312"/>
                <w:kern w:val="0"/>
                <w:sz w:val="24"/>
                <w:lang w:val="en-GB"/>
              </w:rPr>
              <w:t>优</w:t>
            </w:r>
          </w:p>
          <w:p w14:paraId="0817E9BE">
            <w:pPr>
              <w:widowControl/>
              <w:jc w:val="left"/>
              <w:rPr>
                <w:rFonts w:hint="eastAsia" w:ascii="宋体" w:hAnsi="宋体" w:cs="仿宋_GB2312"/>
                <w:kern w:val="0"/>
                <w:sz w:val="24"/>
                <w:lang w:val="en-GB"/>
              </w:rPr>
            </w:pPr>
            <w:r>
              <w:rPr>
                <w:rFonts w:hint="eastAsia" w:ascii="宋体" w:hAnsi="宋体" w:cs="仿宋_GB2312"/>
                <w:kern w:val="0"/>
                <w:sz w:val="24"/>
                <w:lang w:val="en-GB"/>
              </w:rPr>
              <w:t xml:space="preserve">2. </w:t>
            </w:r>
            <w:r>
              <w:rPr>
                <w:rFonts w:hint="eastAsia" w:ascii="宋体" w:hAnsi="宋体" w:cs="仿宋_GB2312"/>
                <w:kern w:val="0"/>
                <w:sz w:val="24"/>
              </w:rPr>
              <w:t>0</w:t>
            </w:r>
            <w:r>
              <w:rPr>
                <w:rFonts w:hint="eastAsia" w:ascii="宋体" w:hAnsi="宋体" w:cs="仿宋_GB2312"/>
                <w:kern w:val="0"/>
                <w:sz w:val="24"/>
                <w:lang w:val="en-GB"/>
              </w:rPr>
              <w:t>＜计划延误率≤</w:t>
            </w:r>
            <w:r>
              <w:rPr>
                <w:rFonts w:hint="eastAsia" w:ascii="宋体" w:hAnsi="宋体" w:cs="仿宋_GB2312"/>
                <w:kern w:val="0"/>
                <w:sz w:val="24"/>
              </w:rPr>
              <w:t>1</w:t>
            </w:r>
            <w:r>
              <w:rPr>
                <w:rFonts w:hint="eastAsia" w:ascii="宋体" w:hAnsi="宋体" w:cs="仿宋_GB2312"/>
                <w:kern w:val="0"/>
                <w:sz w:val="24"/>
                <w:lang w:val="en-GB"/>
              </w:rPr>
              <w:t xml:space="preserve">%   </w:t>
            </w:r>
            <w:r>
              <w:rPr>
                <w:rFonts w:hint="eastAsia" w:ascii="宋体" w:hAnsi="宋体" w:cs="仿宋_GB2312"/>
                <w:kern w:val="0"/>
                <w:sz w:val="24"/>
              </w:rPr>
              <w:t xml:space="preserve">  </w:t>
            </w:r>
            <w:r>
              <w:rPr>
                <w:rFonts w:hint="eastAsia" w:ascii="宋体" w:hAnsi="宋体" w:cs="仿宋_GB2312"/>
                <w:kern w:val="0"/>
                <w:sz w:val="24"/>
                <w:lang w:val="en-GB"/>
              </w:rPr>
              <w:t>良</w:t>
            </w:r>
          </w:p>
          <w:p w14:paraId="186EDD1E">
            <w:pPr>
              <w:widowControl/>
              <w:jc w:val="left"/>
              <w:rPr>
                <w:rFonts w:hint="eastAsia" w:ascii="宋体" w:hAnsi="宋体" w:cs="仿宋_GB2312"/>
                <w:kern w:val="0"/>
                <w:sz w:val="24"/>
                <w:lang w:val="en-GB"/>
              </w:rPr>
            </w:pPr>
            <w:r>
              <w:rPr>
                <w:rFonts w:hint="eastAsia" w:ascii="宋体" w:hAnsi="宋体" w:cs="仿宋_GB2312"/>
                <w:kern w:val="0"/>
                <w:sz w:val="24"/>
                <w:lang w:val="en-GB"/>
              </w:rPr>
              <w:t>3.</w:t>
            </w:r>
            <w:r>
              <w:rPr>
                <w:rFonts w:hint="eastAsia" w:ascii="宋体" w:hAnsi="宋体" w:cs="仿宋_GB2312"/>
                <w:kern w:val="0"/>
                <w:sz w:val="24"/>
              </w:rPr>
              <w:t xml:space="preserve"> 1</w:t>
            </w:r>
            <w:r>
              <w:rPr>
                <w:rFonts w:hint="eastAsia" w:ascii="宋体" w:hAnsi="宋体" w:cs="仿宋_GB2312"/>
                <w:kern w:val="0"/>
                <w:sz w:val="24"/>
                <w:lang w:val="en-GB"/>
              </w:rPr>
              <w:t>%＜计划延误率≤</w:t>
            </w:r>
            <w:r>
              <w:rPr>
                <w:rFonts w:hint="eastAsia" w:ascii="宋体" w:hAnsi="宋体" w:cs="仿宋_GB2312"/>
                <w:kern w:val="0"/>
                <w:sz w:val="24"/>
              </w:rPr>
              <w:t>3</w:t>
            </w:r>
            <w:r>
              <w:rPr>
                <w:rFonts w:hint="eastAsia" w:ascii="宋体" w:hAnsi="宋体" w:cs="仿宋_GB2312"/>
                <w:kern w:val="0"/>
                <w:sz w:val="24"/>
                <w:lang w:val="en-GB"/>
              </w:rPr>
              <w:t xml:space="preserve">%  </w:t>
            </w:r>
            <w:r>
              <w:rPr>
                <w:rFonts w:hint="eastAsia" w:ascii="宋体" w:hAnsi="宋体" w:cs="仿宋_GB2312"/>
                <w:kern w:val="0"/>
                <w:sz w:val="24"/>
              </w:rPr>
              <w:t xml:space="preserve">  </w:t>
            </w:r>
            <w:r>
              <w:rPr>
                <w:rFonts w:hint="eastAsia" w:ascii="宋体" w:hAnsi="宋体" w:cs="仿宋_GB2312"/>
                <w:kern w:val="0"/>
                <w:sz w:val="24"/>
                <w:lang w:val="en-GB"/>
              </w:rPr>
              <w:t>中</w:t>
            </w:r>
          </w:p>
          <w:p w14:paraId="70257920">
            <w:pPr>
              <w:widowControl/>
              <w:jc w:val="left"/>
              <w:rPr>
                <w:rFonts w:hint="eastAsia" w:ascii="宋体" w:hAnsi="宋体" w:cs="仿宋_GB2312"/>
                <w:kern w:val="0"/>
                <w:sz w:val="24"/>
                <w:lang w:val="en-GB"/>
              </w:rPr>
            </w:pPr>
            <w:r>
              <w:rPr>
                <w:rFonts w:hint="eastAsia" w:ascii="宋体" w:hAnsi="宋体" w:cs="仿宋_GB2312"/>
                <w:kern w:val="0"/>
                <w:sz w:val="24"/>
                <w:lang w:val="en-GB"/>
              </w:rPr>
              <w:t>4.</w:t>
            </w:r>
            <w:r>
              <w:rPr>
                <w:rFonts w:hint="eastAsia" w:ascii="宋体" w:hAnsi="宋体" w:cs="仿宋_GB2312"/>
                <w:kern w:val="0"/>
                <w:sz w:val="24"/>
              </w:rPr>
              <w:t xml:space="preserve"> 3</w:t>
            </w:r>
            <w:r>
              <w:rPr>
                <w:rFonts w:hint="eastAsia" w:ascii="宋体" w:hAnsi="宋体" w:cs="仿宋_GB2312"/>
                <w:kern w:val="0"/>
                <w:sz w:val="24"/>
                <w:lang w:val="en-GB"/>
              </w:rPr>
              <w:t xml:space="preserve">%＜计划延误率       </w:t>
            </w:r>
            <w:r>
              <w:rPr>
                <w:rFonts w:hint="eastAsia" w:ascii="宋体" w:hAnsi="宋体" w:cs="仿宋_GB2312"/>
                <w:kern w:val="0"/>
                <w:sz w:val="24"/>
              </w:rPr>
              <w:t xml:space="preserve"> </w:t>
            </w:r>
            <w:r>
              <w:rPr>
                <w:rFonts w:hint="eastAsia" w:ascii="宋体" w:hAnsi="宋体" w:cs="仿宋_GB2312"/>
                <w:kern w:val="0"/>
                <w:sz w:val="24"/>
                <w:lang w:val="en-GB"/>
              </w:rPr>
              <w:t>差</w:t>
            </w:r>
          </w:p>
        </w:tc>
        <w:tc>
          <w:tcPr>
            <w:tcW w:w="520" w:type="pct"/>
            <w:vAlign w:val="center"/>
          </w:tcPr>
          <w:p w14:paraId="68A4A76D">
            <w:pPr>
              <w:widowControl/>
              <w:jc w:val="center"/>
              <w:rPr>
                <w:rFonts w:hint="eastAsia" w:ascii="宋体" w:hAnsi="宋体" w:cs="仿宋_GB2312"/>
                <w:kern w:val="0"/>
                <w:sz w:val="24"/>
                <w:lang w:val="de-DE"/>
              </w:rPr>
            </w:pPr>
            <w:r>
              <w:rPr>
                <w:rFonts w:hint="eastAsia" w:ascii="宋体" w:hAnsi="宋体" w:cs="仿宋_GB2312"/>
                <w:kern w:val="0"/>
                <w:sz w:val="24"/>
              </w:rPr>
              <w:t>4</w:t>
            </w:r>
            <w:r>
              <w:rPr>
                <w:rFonts w:hint="eastAsia" w:ascii="宋体" w:hAnsi="宋体" w:cs="仿宋_GB2312"/>
                <w:kern w:val="0"/>
                <w:sz w:val="24"/>
                <w:lang w:val="de-DE"/>
              </w:rPr>
              <w:t>0%</w:t>
            </w:r>
          </w:p>
        </w:tc>
      </w:tr>
      <w:tr w14:paraId="52C1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14:paraId="1C7A3E65">
            <w:pPr>
              <w:widowControl/>
              <w:jc w:val="center"/>
              <w:rPr>
                <w:rFonts w:hint="eastAsia" w:ascii="宋体" w:hAnsi="宋体" w:cs="仿宋_GB2312"/>
                <w:kern w:val="0"/>
                <w:sz w:val="24"/>
                <w:lang w:val="de-DE"/>
              </w:rPr>
            </w:pPr>
            <w:r>
              <w:rPr>
                <w:rFonts w:hint="eastAsia" w:ascii="宋体" w:hAnsi="宋体" w:cs="仿宋_GB2312"/>
                <w:kern w:val="0"/>
                <w:sz w:val="24"/>
                <w:lang w:val="de-DE"/>
              </w:rPr>
              <w:t>2</w:t>
            </w:r>
          </w:p>
        </w:tc>
        <w:tc>
          <w:tcPr>
            <w:tcW w:w="520" w:type="pct"/>
            <w:vAlign w:val="center"/>
          </w:tcPr>
          <w:p w14:paraId="18B86B01">
            <w:pPr>
              <w:widowControl/>
              <w:jc w:val="center"/>
              <w:rPr>
                <w:rFonts w:hint="eastAsia" w:ascii="宋体" w:hAnsi="宋体" w:cs="仿宋_GB2312"/>
                <w:kern w:val="0"/>
                <w:sz w:val="24"/>
                <w:lang w:val="de-DE"/>
              </w:rPr>
            </w:pPr>
            <w:r>
              <w:rPr>
                <w:rFonts w:hint="eastAsia" w:ascii="宋体" w:hAnsi="宋体" w:cs="仿宋_GB2312"/>
                <w:kern w:val="0"/>
                <w:sz w:val="24"/>
                <w:lang w:val="de-DE"/>
              </w:rPr>
              <w:t>项目投产后问题数量</w:t>
            </w:r>
          </w:p>
        </w:tc>
        <w:tc>
          <w:tcPr>
            <w:tcW w:w="1168" w:type="pct"/>
            <w:vAlign w:val="center"/>
          </w:tcPr>
          <w:p w14:paraId="75EDD5AF">
            <w:pPr>
              <w:widowControl/>
              <w:jc w:val="center"/>
              <w:rPr>
                <w:rFonts w:hint="eastAsia" w:ascii="宋体" w:hAnsi="宋体" w:cs="仿宋_GB2312"/>
                <w:kern w:val="0"/>
                <w:sz w:val="24"/>
                <w:lang w:val="de-DE"/>
              </w:rPr>
            </w:pPr>
            <w:r>
              <w:rPr>
                <w:rFonts w:hint="eastAsia" w:ascii="宋体" w:hAnsi="宋体" w:cs="仿宋_GB2312"/>
                <w:kern w:val="0"/>
                <w:sz w:val="24"/>
                <w:lang w:val="de-DE"/>
              </w:rPr>
              <w:t>投产后至验收时累计问题数</w:t>
            </w:r>
          </w:p>
        </w:tc>
        <w:tc>
          <w:tcPr>
            <w:tcW w:w="2567" w:type="pct"/>
            <w:vAlign w:val="center"/>
          </w:tcPr>
          <w:p w14:paraId="402B8FFD">
            <w:pPr>
              <w:widowControl/>
              <w:jc w:val="left"/>
              <w:rPr>
                <w:rFonts w:hint="eastAsia" w:ascii="宋体" w:hAnsi="宋体" w:cs="仿宋_GB2312"/>
                <w:kern w:val="0"/>
                <w:sz w:val="24"/>
                <w:lang w:val="en-GB"/>
              </w:rPr>
            </w:pPr>
            <w:r>
              <w:rPr>
                <w:rFonts w:hint="eastAsia" w:ascii="宋体" w:hAnsi="宋体" w:cs="仿宋_GB2312"/>
                <w:kern w:val="0"/>
                <w:sz w:val="24"/>
                <w:lang w:val="en-GB"/>
              </w:rPr>
              <w:t>1.每100功能点每</w:t>
            </w:r>
            <w:r>
              <w:rPr>
                <w:rFonts w:hint="eastAsia" w:ascii="宋体" w:hAnsi="宋体" w:cs="仿宋_GB2312"/>
                <w:kern w:val="0"/>
                <w:sz w:val="24"/>
              </w:rPr>
              <w:t>3</w:t>
            </w:r>
            <w:r>
              <w:rPr>
                <w:rFonts w:hint="eastAsia" w:ascii="宋体" w:hAnsi="宋体" w:cs="仿宋_GB2312"/>
                <w:kern w:val="0"/>
                <w:sz w:val="24"/>
                <w:lang w:val="en-GB"/>
              </w:rPr>
              <w:t>月发现问题数&lt;5   优</w:t>
            </w:r>
          </w:p>
          <w:p w14:paraId="623FA8A9">
            <w:pPr>
              <w:widowControl/>
              <w:jc w:val="left"/>
              <w:rPr>
                <w:rFonts w:hint="eastAsia" w:ascii="宋体" w:hAnsi="宋体" w:cs="仿宋_GB2312"/>
                <w:kern w:val="0"/>
                <w:sz w:val="24"/>
                <w:lang w:val="en-GB"/>
              </w:rPr>
            </w:pPr>
            <w:r>
              <w:rPr>
                <w:rFonts w:hint="eastAsia" w:ascii="宋体" w:hAnsi="宋体" w:cs="仿宋_GB2312"/>
                <w:kern w:val="0"/>
                <w:sz w:val="24"/>
                <w:lang w:val="en-GB"/>
              </w:rPr>
              <w:t>2.每100功能点每</w:t>
            </w:r>
            <w:r>
              <w:rPr>
                <w:rFonts w:hint="eastAsia" w:ascii="宋体" w:hAnsi="宋体" w:cs="仿宋_GB2312"/>
                <w:kern w:val="0"/>
                <w:sz w:val="24"/>
              </w:rPr>
              <w:t>3</w:t>
            </w:r>
            <w:r>
              <w:rPr>
                <w:rFonts w:hint="eastAsia" w:ascii="宋体" w:hAnsi="宋体" w:cs="仿宋_GB2312"/>
                <w:kern w:val="0"/>
                <w:sz w:val="24"/>
                <w:lang w:val="en-GB"/>
              </w:rPr>
              <w:t>月发现问题数&lt;=10 良</w:t>
            </w:r>
          </w:p>
          <w:p w14:paraId="3F364DBC">
            <w:pPr>
              <w:widowControl/>
              <w:jc w:val="left"/>
              <w:rPr>
                <w:rFonts w:hint="eastAsia" w:ascii="宋体" w:hAnsi="宋体" w:cs="仿宋_GB2312"/>
                <w:kern w:val="0"/>
                <w:sz w:val="24"/>
                <w:lang w:val="en-GB"/>
              </w:rPr>
            </w:pPr>
            <w:r>
              <w:rPr>
                <w:rFonts w:hint="eastAsia" w:ascii="宋体" w:hAnsi="宋体" w:cs="仿宋_GB2312"/>
                <w:kern w:val="0"/>
                <w:sz w:val="24"/>
                <w:lang w:val="en-GB"/>
              </w:rPr>
              <w:t>3.每100功能点每</w:t>
            </w:r>
            <w:r>
              <w:rPr>
                <w:rFonts w:hint="eastAsia" w:ascii="宋体" w:hAnsi="宋体" w:cs="仿宋_GB2312"/>
                <w:kern w:val="0"/>
                <w:sz w:val="24"/>
              </w:rPr>
              <w:t>3</w:t>
            </w:r>
            <w:r>
              <w:rPr>
                <w:rFonts w:hint="eastAsia" w:ascii="宋体" w:hAnsi="宋体" w:cs="仿宋_GB2312"/>
                <w:kern w:val="0"/>
                <w:sz w:val="24"/>
                <w:lang w:val="en-GB"/>
              </w:rPr>
              <w:t>月发现问题数&lt;=15 中</w:t>
            </w:r>
          </w:p>
          <w:p w14:paraId="2151062E">
            <w:pPr>
              <w:widowControl/>
              <w:jc w:val="left"/>
              <w:rPr>
                <w:rFonts w:hint="eastAsia" w:ascii="宋体" w:hAnsi="宋体" w:cs="仿宋_GB2312"/>
                <w:kern w:val="0"/>
                <w:sz w:val="24"/>
                <w:lang w:val="en-GB"/>
              </w:rPr>
            </w:pPr>
            <w:r>
              <w:rPr>
                <w:rFonts w:hint="eastAsia" w:ascii="宋体" w:hAnsi="宋体" w:cs="仿宋_GB2312"/>
                <w:kern w:val="0"/>
                <w:sz w:val="24"/>
                <w:lang w:val="en-GB"/>
              </w:rPr>
              <w:t>4.每100功能点每</w:t>
            </w:r>
            <w:r>
              <w:rPr>
                <w:rFonts w:hint="eastAsia" w:ascii="宋体" w:hAnsi="宋体" w:cs="仿宋_GB2312"/>
                <w:kern w:val="0"/>
                <w:sz w:val="24"/>
              </w:rPr>
              <w:t>3</w:t>
            </w:r>
            <w:r>
              <w:rPr>
                <w:rFonts w:hint="eastAsia" w:ascii="宋体" w:hAnsi="宋体" w:cs="仿宋_GB2312"/>
                <w:kern w:val="0"/>
                <w:sz w:val="24"/>
                <w:lang w:val="en-GB"/>
              </w:rPr>
              <w:t>月发现问题数&gt;15  差</w:t>
            </w:r>
          </w:p>
        </w:tc>
        <w:tc>
          <w:tcPr>
            <w:tcW w:w="520" w:type="pct"/>
            <w:vAlign w:val="center"/>
          </w:tcPr>
          <w:p w14:paraId="3C66E73B">
            <w:pPr>
              <w:widowControl/>
              <w:jc w:val="center"/>
              <w:rPr>
                <w:rFonts w:hint="eastAsia" w:ascii="宋体" w:hAnsi="宋体" w:cs="仿宋_GB2312"/>
                <w:kern w:val="0"/>
                <w:sz w:val="24"/>
                <w:lang w:val="de-DE"/>
              </w:rPr>
            </w:pPr>
            <w:r>
              <w:rPr>
                <w:rFonts w:hint="eastAsia" w:ascii="宋体" w:hAnsi="宋体" w:cs="仿宋_GB2312"/>
                <w:kern w:val="0"/>
                <w:sz w:val="24"/>
              </w:rPr>
              <w:t>3</w:t>
            </w:r>
            <w:r>
              <w:rPr>
                <w:rFonts w:hint="eastAsia" w:ascii="宋体" w:hAnsi="宋体" w:cs="仿宋_GB2312"/>
                <w:kern w:val="0"/>
                <w:sz w:val="24"/>
                <w:lang w:val="de-DE"/>
              </w:rPr>
              <w:t>0%</w:t>
            </w:r>
          </w:p>
        </w:tc>
      </w:tr>
      <w:tr w14:paraId="34DE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14:paraId="67F40257">
            <w:pPr>
              <w:widowControl/>
              <w:jc w:val="center"/>
              <w:rPr>
                <w:rFonts w:hint="eastAsia" w:ascii="宋体" w:hAnsi="宋体" w:cs="仿宋_GB2312"/>
                <w:kern w:val="0"/>
                <w:sz w:val="24"/>
              </w:rPr>
            </w:pPr>
            <w:r>
              <w:rPr>
                <w:rFonts w:hint="eastAsia" w:ascii="宋体" w:hAnsi="宋体" w:cs="仿宋_GB2312"/>
                <w:kern w:val="0"/>
                <w:sz w:val="24"/>
              </w:rPr>
              <w:t>3</w:t>
            </w:r>
          </w:p>
        </w:tc>
        <w:tc>
          <w:tcPr>
            <w:tcW w:w="520" w:type="pct"/>
            <w:vAlign w:val="center"/>
          </w:tcPr>
          <w:p w14:paraId="170AC3F6">
            <w:pPr>
              <w:widowControl/>
              <w:jc w:val="center"/>
              <w:rPr>
                <w:rFonts w:hint="eastAsia" w:ascii="宋体" w:hAnsi="宋体" w:cs="仿宋_GB2312"/>
                <w:kern w:val="0"/>
                <w:sz w:val="24"/>
              </w:rPr>
            </w:pPr>
            <w:r>
              <w:rPr>
                <w:rFonts w:hint="eastAsia" w:ascii="宋体" w:hAnsi="宋体" w:cs="仿宋_GB2312"/>
                <w:kern w:val="0"/>
                <w:sz w:val="24"/>
              </w:rPr>
              <w:t>工单未及时处理率</w:t>
            </w:r>
          </w:p>
        </w:tc>
        <w:tc>
          <w:tcPr>
            <w:tcW w:w="1168" w:type="pct"/>
            <w:vAlign w:val="center"/>
          </w:tcPr>
          <w:p w14:paraId="130C6D9E">
            <w:pPr>
              <w:widowControl/>
              <w:jc w:val="center"/>
              <w:rPr>
                <w:rFonts w:hint="eastAsia" w:ascii="宋体" w:hAnsi="宋体" w:cs="仿宋_GB2312"/>
                <w:kern w:val="0"/>
                <w:sz w:val="24"/>
              </w:rPr>
            </w:pPr>
            <w:r>
              <w:rPr>
                <w:rFonts w:hint="eastAsia" w:ascii="宋体" w:hAnsi="宋体" w:cs="仿宋_GB2312"/>
                <w:kern w:val="0"/>
                <w:sz w:val="24"/>
              </w:rPr>
              <w:t>工单处理时长超一个月工单数量/总工单数量</w:t>
            </w:r>
          </w:p>
        </w:tc>
        <w:tc>
          <w:tcPr>
            <w:tcW w:w="2567" w:type="pct"/>
            <w:vAlign w:val="center"/>
          </w:tcPr>
          <w:p w14:paraId="5ED5F12E">
            <w:pPr>
              <w:widowControl/>
              <w:jc w:val="left"/>
              <w:rPr>
                <w:rFonts w:hint="eastAsia" w:ascii="宋体" w:hAnsi="宋体" w:cs="仿宋_GB2312"/>
                <w:kern w:val="0"/>
                <w:sz w:val="24"/>
              </w:rPr>
            </w:pPr>
            <w:r>
              <w:rPr>
                <w:rFonts w:hint="eastAsia" w:ascii="宋体" w:hAnsi="宋体" w:cs="仿宋_GB2312"/>
                <w:kern w:val="0"/>
                <w:sz w:val="24"/>
              </w:rPr>
              <w:t>1. 工单未及时处理率</w:t>
            </w:r>
            <w:r>
              <w:rPr>
                <w:rFonts w:hint="eastAsia" w:ascii="宋体" w:hAnsi="宋体" w:cs="仿宋_GB2312"/>
                <w:kern w:val="0"/>
                <w:sz w:val="24"/>
                <w:lang w:val="en-GB"/>
              </w:rPr>
              <w:t>≤0%</w:t>
            </w:r>
            <w:r>
              <w:rPr>
                <w:rFonts w:hint="eastAsia" w:ascii="宋体" w:hAnsi="宋体" w:cs="仿宋_GB2312"/>
                <w:kern w:val="0"/>
                <w:sz w:val="24"/>
              </w:rPr>
              <w:t xml:space="preserve">     优</w:t>
            </w:r>
          </w:p>
          <w:p w14:paraId="5092670C">
            <w:pPr>
              <w:widowControl/>
              <w:jc w:val="left"/>
              <w:rPr>
                <w:rFonts w:hint="eastAsia" w:ascii="宋体" w:hAnsi="宋体" w:cs="仿宋_GB2312"/>
                <w:kern w:val="0"/>
                <w:sz w:val="24"/>
              </w:rPr>
            </w:pPr>
            <w:r>
              <w:rPr>
                <w:rFonts w:hint="eastAsia" w:ascii="宋体" w:hAnsi="宋体" w:cs="仿宋_GB2312"/>
                <w:kern w:val="0"/>
                <w:sz w:val="24"/>
              </w:rPr>
              <w:t>2. 0%&lt;工单未及时处理率</w:t>
            </w:r>
            <w:r>
              <w:rPr>
                <w:rFonts w:hint="eastAsia" w:ascii="宋体" w:hAnsi="宋体" w:cs="仿宋_GB2312"/>
                <w:kern w:val="0"/>
                <w:sz w:val="24"/>
                <w:lang w:val="en-GB"/>
              </w:rPr>
              <w:t>≤</w:t>
            </w:r>
            <w:r>
              <w:rPr>
                <w:rFonts w:hint="eastAsia" w:ascii="宋体" w:hAnsi="宋体" w:cs="仿宋_GB2312"/>
                <w:kern w:val="0"/>
                <w:sz w:val="24"/>
              </w:rPr>
              <w:t>5</w:t>
            </w:r>
            <w:r>
              <w:rPr>
                <w:rFonts w:hint="eastAsia" w:ascii="宋体" w:hAnsi="宋体" w:cs="仿宋_GB2312"/>
                <w:kern w:val="0"/>
                <w:sz w:val="24"/>
                <w:lang w:val="en-GB"/>
              </w:rPr>
              <w:t>%</w:t>
            </w:r>
            <w:r>
              <w:rPr>
                <w:rFonts w:hint="eastAsia" w:ascii="宋体" w:hAnsi="宋体" w:cs="仿宋_GB2312"/>
                <w:kern w:val="0"/>
                <w:sz w:val="24"/>
              </w:rPr>
              <w:t xml:space="preserve">  良</w:t>
            </w:r>
          </w:p>
          <w:p w14:paraId="1B88226F">
            <w:pPr>
              <w:widowControl/>
              <w:jc w:val="left"/>
              <w:rPr>
                <w:rFonts w:hint="eastAsia" w:ascii="宋体" w:hAnsi="宋体" w:cs="仿宋_GB2312"/>
                <w:kern w:val="0"/>
                <w:sz w:val="24"/>
              </w:rPr>
            </w:pPr>
            <w:r>
              <w:rPr>
                <w:rFonts w:hint="eastAsia" w:ascii="宋体" w:hAnsi="宋体" w:cs="仿宋_GB2312"/>
                <w:kern w:val="0"/>
                <w:sz w:val="24"/>
              </w:rPr>
              <w:t>3. 5%&lt;工单未及时处理率</w:t>
            </w:r>
            <w:r>
              <w:rPr>
                <w:rFonts w:hint="eastAsia" w:ascii="宋体" w:hAnsi="宋体" w:cs="仿宋_GB2312"/>
                <w:kern w:val="0"/>
                <w:sz w:val="24"/>
                <w:lang w:val="en-GB"/>
              </w:rPr>
              <w:t>≤</w:t>
            </w:r>
            <w:r>
              <w:rPr>
                <w:rFonts w:hint="eastAsia" w:ascii="宋体" w:hAnsi="宋体" w:cs="仿宋_GB2312"/>
                <w:kern w:val="0"/>
                <w:sz w:val="24"/>
              </w:rPr>
              <w:t>15</w:t>
            </w:r>
            <w:r>
              <w:rPr>
                <w:rFonts w:hint="eastAsia" w:ascii="宋体" w:hAnsi="宋体" w:cs="仿宋_GB2312"/>
                <w:kern w:val="0"/>
                <w:sz w:val="24"/>
                <w:lang w:val="en-GB"/>
              </w:rPr>
              <w:t>%</w:t>
            </w:r>
            <w:r>
              <w:rPr>
                <w:rFonts w:hint="eastAsia" w:ascii="宋体" w:hAnsi="宋体" w:cs="仿宋_GB2312"/>
                <w:kern w:val="0"/>
                <w:sz w:val="24"/>
              </w:rPr>
              <w:t xml:space="preserve"> 中</w:t>
            </w:r>
          </w:p>
          <w:p w14:paraId="509DC574">
            <w:pPr>
              <w:widowControl/>
              <w:jc w:val="left"/>
              <w:rPr>
                <w:rFonts w:hint="eastAsia" w:ascii="宋体" w:hAnsi="宋体" w:cs="仿宋_GB2312"/>
                <w:kern w:val="0"/>
                <w:sz w:val="24"/>
              </w:rPr>
            </w:pPr>
            <w:r>
              <w:rPr>
                <w:rFonts w:hint="eastAsia" w:ascii="宋体" w:hAnsi="宋体" w:cs="仿宋_GB2312"/>
                <w:kern w:val="0"/>
                <w:sz w:val="24"/>
              </w:rPr>
              <w:t>4. 15%&lt;工单未及时处理率     差</w:t>
            </w:r>
          </w:p>
        </w:tc>
        <w:tc>
          <w:tcPr>
            <w:tcW w:w="520" w:type="pct"/>
            <w:vAlign w:val="center"/>
          </w:tcPr>
          <w:p w14:paraId="4FACD7C5">
            <w:pPr>
              <w:widowControl/>
              <w:jc w:val="center"/>
              <w:rPr>
                <w:rFonts w:hint="eastAsia" w:ascii="宋体" w:hAnsi="宋体" w:cs="仿宋_GB2312"/>
                <w:kern w:val="0"/>
                <w:sz w:val="24"/>
              </w:rPr>
            </w:pPr>
            <w:r>
              <w:rPr>
                <w:rFonts w:hint="eastAsia" w:ascii="宋体" w:hAnsi="宋体" w:cs="仿宋_GB2312"/>
                <w:kern w:val="0"/>
                <w:sz w:val="24"/>
              </w:rPr>
              <w:t>20%</w:t>
            </w:r>
          </w:p>
        </w:tc>
      </w:tr>
      <w:tr w14:paraId="0865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223" w:type="pct"/>
            <w:vAlign w:val="center"/>
          </w:tcPr>
          <w:p w14:paraId="55B75D34">
            <w:pPr>
              <w:widowControl/>
              <w:jc w:val="center"/>
              <w:rPr>
                <w:rFonts w:hint="eastAsia" w:ascii="宋体" w:hAnsi="宋体" w:cs="仿宋_GB2312"/>
                <w:kern w:val="0"/>
                <w:sz w:val="24"/>
              </w:rPr>
            </w:pPr>
            <w:r>
              <w:rPr>
                <w:rFonts w:hint="eastAsia" w:ascii="宋体" w:hAnsi="宋体" w:cs="仿宋_GB2312"/>
                <w:kern w:val="0"/>
                <w:sz w:val="24"/>
              </w:rPr>
              <w:t>4</w:t>
            </w:r>
          </w:p>
        </w:tc>
        <w:tc>
          <w:tcPr>
            <w:tcW w:w="520" w:type="pct"/>
            <w:vAlign w:val="center"/>
          </w:tcPr>
          <w:p w14:paraId="767F71B3">
            <w:pPr>
              <w:widowControl/>
              <w:jc w:val="center"/>
              <w:rPr>
                <w:rFonts w:hint="eastAsia" w:ascii="宋体" w:hAnsi="宋体" w:cs="仿宋_GB2312"/>
                <w:kern w:val="0"/>
                <w:sz w:val="24"/>
              </w:rPr>
            </w:pPr>
            <w:r>
              <w:rPr>
                <w:rFonts w:hint="eastAsia" w:ascii="宋体" w:hAnsi="宋体" w:cs="仿宋_GB2312"/>
                <w:kern w:val="0"/>
                <w:sz w:val="24"/>
              </w:rPr>
              <w:t>异常考勤率</w:t>
            </w:r>
          </w:p>
        </w:tc>
        <w:tc>
          <w:tcPr>
            <w:tcW w:w="1168" w:type="pct"/>
            <w:vAlign w:val="center"/>
          </w:tcPr>
          <w:p w14:paraId="1239C9C1">
            <w:pPr>
              <w:widowControl/>
              <w:jc w:val="center"/>
              <w:rPr>
                <w:rFonts w:hint="eastAsia" w:ascii="宋体" w:hAnsi="宋体" w:cs="仿宋_GB2312"/>
                <w:kern w:val="0"/>
                <w:sz w:val="24"/>
              </w:rPr>
            </w:pPr>
            <w:r>
              <w:rPr>
                <w:rFonts w:hint="eastAsia" w:ascii="宋体" w:hAnsi="宋体" w:cs="仿宋_GB2312"/>
                <w:kern w:val="0"/>
                <w:sz w:val="24"/>
              </w:rPr>
              <w:t>驻场期间异常考勤天数/应出勤天数</w:t>
            </w:r>
          </w:p>
        </w:tc>
        <w:tc>
          <w:tcPr>
            <w:tcW w:w="2567" w:type="pct"/>
            <w:vAlign w:val="center"/>
          </w:tcPr>
          <w:p w14:paraId="4DFDAFFA">
            <w:pPr>
              <w:widowControl/>
              <w:jc w:val="left"/>
              <w:rPr>
                <w:rFonts w:hint="eastAsia" w:ascii="宋体" w:hAnsi="宋体" w:cs="仿宋_GB2312"/>
                <w:kern w:val="0"/>
                <w:sz w:val="24"/>
                <w:lang w:val="en-GB"/>
              </w:rPr>
            </w:pPr>
            <w:r>
              <w:rPr>
                <w:rFonts w:hint="eastAsia" w:ascii="宋体" w:hAnsi="宋体" w:cs="仿宋_GB2312"/>
                <w:kern w:val="0"/>
                <w:sz w:val="24"/>
                <w:lang w:val="en-GB"/>
              </w:rPr>
              <w:t xml:space="preserve">1. </w:t>
            </w:r>
            <w:r>
              <w:rPr>
                <w:rFonts w:hint="eastAsia" w:ascii="宋体" w:hAnsi="宋体" w:cs="仿宋_GB2312"/>
                <w:kern w:val="0"/>
                <w:sz w:val="24"/>
              </w:rPr>
              <w:t>异常考勤</w:t>
            </w:r>
            <w:r>
              <w:rPr>
                <w:rFonts w:hint="eastAsia" w:ascii="宋体" w:hAnsi="宋体" w:cs="仿宋_GB2312"/>
                <w:kern w:val="0"/>
                <w:sz w:val="24"/>
                <w:lang w:val="en-GB"/>
              </w:rPr>
              <w:t>率≤</w:t>
            </w:r>
            <w:r>
              <w:rPr>
                <w:rFonts w:hint="eastAsia" w:ascii="宋体" w:hAnsi="宋体" w:cs="仿宋_GB2312"/>
                <w:kern w:val="0"/>
                <w:sz w:val="24"/>
              </w:rPr>
              <w:t>5</w:t>
            </w:r>
            <w:r>
              <w:rPr>
                <w:rFonts w:hint="eastAsia" w:ascii="宋体" w:hAnsi="宋体" w:cs="仿宋_GB2312"/>
                <w:kern w:val="0"/>
                <w:sz w:val="24"/>
                <w:lang w:val="en-GB"/>
              </w:rPr>
              <w:t>%        优</w:t>
            </w:r>
          </w:p>
          <w:p w14:paraId="1854F2DF">
            <w:pPr>
              <w:widowControl/>
              <w:jc w:val="left"/>
              <w:rPr>
                <w:rFonts w:hint="eastAsia" w:ascii="宋体" w:hAnsi="宋体" w:cs="仿宋_GB2312"/>
                <w:kern w:val="0"/>
                <w:sz w:val="24"/>
                <w:lang w:val="en-GB"/>
              </w:rPr>
            </w:pPr>
            <w:r>
              <w:rPr>
                <w:rFonts w:hint="eastAsia" w:ascii="宋体" w:hAnsi="宋体" w:cs="仿宋_GB2312"/>
                <w:kern w:val="0"/>
                <w:sz w:val="24"/>
                <w:lang w:val="en-GB"/>
              </w:rPr>
              <w:t xml:space="preserve">2. </w:t>
            </w:r>
            <w:r>
              <w:rPr>
                <w:rFonts w:hint="eastAsia" w:ascii="宋体" w:hAnsi="宋体" w:cs="仿宋_GB2312"/>
                <w:kern w:val="0"/>
                <w:sz w:val="24"/>
              </w:rPr>
              <w:t>5</w:t>
            </w:r>
            <w:r>
              <w:rPr>
                <w:rFonts w:hint="eastAsia" w:ascii="宋体" w:hAnsi="宋体" w:cs="仿宋_GB2312"/>
                <w:kern w:val="0"/>
                <w:sz w:val="24"/>
                <w:lang w:val="en-GB"/>
              </w:rPr>
              <w:t>%＜</w:t>
            </w:r>
            <w:r>
              <w:rPr>
                <w:rFonts w:hint="eastAsia" w:ascii="宋体" w:hAnsi="宋体" w:cs="仿宋_GB2312"/>
                <w:kern w:val="0"/>
                <w:sz w:val="24"/>
              </w:rPr>
              <w:t>异常考勤</w:t>
            </w:r>
            <w:r>
              <w:rPr>
                <w:rFonts w:hint="eastAsia" w:ascii="宋体" w:hAnsi="宋体" w:cs="仿宋_GB2312"/>
                <w:kern w:val="0"/>
                <w:sz w:val="24"/>
                <w:lang w:val="en-GB"/>
              </w:rPr>
              <w:t>率≤</w:t>
            </w:r>
            <w:r>
              <w:rPr>
                <w:rFonts w:hint="eastAsia" w:ascii="宋体" w:hAnsi="宋体" w:cs="仿宋_GB2312"/>
                <w:kern w:val="0"/>
                <w:sz w:val="24"/>
              </w:rPr>
              <w:t>10</w:t>
            </w:r>
            <w:r>
              <w:rPr>
                <w:rFonts w:hint="eastAsia" w:ascii="宋体" w:hAnsi="宋体" w:cs="仿宋_GB2312"/>
                <w:kern w:val="0"/>
                <w:sz w:val="24"/>
                <w:lang w:val="en-GB"/>
              </w:rPr>
              <w:t>%   良</w:t>
            </w:r>
          </w:p>
          <w:p w14:paraId="0DF621D1">
            <w:pPr>
              <w:widowControl/>
              <w:jc w:val="left"/>
              <w:rPr>
                <w:rFonts w:hint="eastAsia" w:ascii="宋体" w:hAnsi="宋体" w:cs="仿宋_GB2312"/>
                <w:kern w:val="0"/>
                <w:sz w:val="24"/>
                <w:lang w:val="en-GB"/>
              </w:rPr>
            </w:pPr>
            <w:r>
              <w:rPr>
                <w:rFonts w:hint="eastAsia" w:ascii="宋体" w:hAnsi="宋体" w:cs="仿宋_GB2312"/>
                <w:kern w:val="0"/>
                <w:sz w:val="24"/>
                <w:lang w:val="en-GB"/>
              </w:rPr>
              <w:t>3.</w:t>
            </w:r>
            <w:r>
              <w:rPr>
                <w:rFonts w:hint="eastAsia" w:ascii="宋体" w:hAnsi="宋体" w:cs="仿宋_GB2312"/>
                <w:kern w:val="0"/>
                <w:sz w:val="24"/>
              </w:rPr>
              <w:t xml:space="preserve"> 10</w:t>
            </w:r>
            <w:r>
              <w:rPr>
                <w:rFonts w:hint="eastAsia" w:ascii="宋体" w:hAnsi="宋体" w:cs="仿宋_GB2312"/>
                <w:kern w:val="0"/>
                <w:sz w:val="24"/>
                <w:lang w:val="en-GB"/>
              </w:rPr>
              <w:t>%＜</w:t>
            </w:r>
            <w:r>
              <w:rPr>
                <w:rFonts w:hint="eastAsia" w:ascii="宋体" w:hAnsi="宋体" w:cs="仿宋_GB2312"/>
                <w:kern w:val="0"/>
                <w:sz w:val="24"/>
              </w:rPr>
              <w:t>异常考勤</w:t>
            </w:r>
            <w:r>
              <w:rPr>
                <w:rFonts w:hint="eastAsia" w:ascii="宋体" w:hAnsi="宋体" w:cs="仿宋_GB2312"/>
                <w:kern w:val="0"/>
                <w:sz w:val="24"/>
                <w:lang w:val="en-GB"/>
              </w:rPr>
              <w:t>率≤15%  中</w:t>
            </w:r>
          </w:p>
          <w:p w14:paraId="367C095F">
            <w:pPr>
              <w:widowControl/>
              <w:jc w:val="left"/>
              <w:rPr>
                <w:rFonts w:hint="eastAsia" w:ascii="宋体" w:hAnsi="宋体" w:cs="仿宋_GB2312"/>
                <w:kern w:val="0"/>
                <w:sz w:val="24"/>
              </w:rPr>
            </w:pPr>
            <w:r>
              <w:rPr>
                <w:rFonts w:hint="eastAsia" w:ascii="宋体" w:hAnsi="宋体" w:cs="仿宋_GB2312"/>
                <w:kern w:val="0"/>
                <w:sz w:val="24"/>
                <w:lang w:val="en-GB"/>
              </w:rPr>
              <w:t>4.</w:t>
            </w:r>
            <w:r>
              <w:rPr>
                <w:rFonts w:hint="eastAsia" w:ascii="宋体" w:hAnsi="宋体" w:cs="仿宋_GB2312"/>
                <w:kern w:val="0"/>
                <w:sz w:val="24"/>
              </w:rPr>
              <w:t xml:space="preserve"> </w:t>
            </w:r>
            <w:r>
              <w:rPr>
                <w:rFonts w:hint="eastAsia" w:ascii="宋体" w:hAnsi="宋体" w:cs="仿宋_GB2312"/>
                <w:kern w:val="0"/>
                <w:sz w:val="24"/>
                <w:lang w:val="en-GB"/>
              </w:rPr>
              <w:t>15%＜</w:t>
            </w:r>
            <w:r>
              <w:rPr>
                <w:rFonts w:hint="eastAsia" w:ascii="宋体" w:hAnsi="宋体" w:cs="仿宋_GB2312"/>
                <w:kern w:val="0"/>
                <w:sz w:val="24"/>
              </w:rPr>
              <w:t>异常考勤</w:t>
            </w:r>
            <w:r>
              <w:rPr>
                <w:rFonts w:hint="eastAsia" w:ascii="宋体" w:hAnsi="宋体" w:cs="仿宋_GB2312"/>
                <w:kern w:val="0"/>
                <w:sz w:val="24"/>
                <w:lang w:val="en-GB"/>
              </w:rPr>
              <w:t>率       差</w:t>
            </w:r>
          </w:p>
        </w:tc>
        <w:tc>
          <w:tcPr>
            <w:tcW w:w="520" w:type="pct"/>
            <w:vAlign w:val="center"/>
          </w:tcPr>
          <w:p w14:paraId="4F804F10">
            <w:pPr>
              <w:widowControl/>
              <w:jc w:val="center"/>
              <w:rPr>
                <w:rFonts w:hint="eastAsia" w:ascii="宋体" w:hAnsi="宋体" w:cs="仿宋_GB2312"/>
                <w:kern w:val="0"/>
                <w:sz w:val="24"/>
              </w:rPr>
            </w:pPr>
            <w:r>
              <w:rPr>
                <w:rFonts w:hint="eastAsia" w:ascii="宋体" w:hAnsi="宋体" w:cs="仿宋_GB2312"/>
                <w:kern w:val="0"/>
                <w:sz w:val="24"/>
              </w:rPr>
              <w:t>10%</w:t>
            </w:r>
          </w:p>
        </w:tc>
      </w:tr>
      <w:tr w14:paraId="1157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000" w:type="pct"/>
            <w:gridSpan w:val="5"/>
            <w:vAlign w:val="center"/>
          </w:tcPr>
          <w:p w14:paraId="4A17E278">
            <w:pPr>
              <w:widowControl/>
              <w:tabs>
                <w:tab w:val="left" w:pos="2252"/>
              </w:tabs>
              <w:jc w:val="left"/>
              <w:rPr>
                <w:rFonts w:hint="eastAsia" w:ascii="宋体" w:hAnsi="宋体" w:cs="仿宋_GB2312"/>
                <w:kern w:val="0"/>
                <w:sz w:val="24"/>
              </w:rPr>
            </w:pPr>
            <w:r>
              <w:rPr>
                <w:rFonts w:hint="eastAsia" w:ascii="宋体" w:hAnsi="宋体" w:cs="仿宋_GB2312"/>
                <w:kern w:val="0"/>
                <w:sz w:val="24"/>
              </w:rPr>
              <w:t>说明：本项目涉及功能点情况和数量随报价文件一并提供，应与工作量评估底稿一致；考勤率结合采购人外包考勤情况进行计算。</w:t>
            </w:r>
          </w:p>
        </w:tc>
      </w:tr>
    </w:tbl>
    <w:p w14:paraId="761620A8">
      <w:pPr>
        <w:spacing w:line="360" w:lineRule="auto"/>
        <w:ind w:firstLine="480" w:firstLineChars="200"/>
        <w:rPr>
          <w:rFonts w:hint="eastAsia" w:ascii="宋体" w:hAnsi="宋体"/>
          <w:sz w:val="24"/>
        </w:rPr>
      </w:pPr>
      <w:r>
        <w:rPr>
          <w:rFonts w:hint="eastAsia" w:ascii="宋体" w:hAnsi="宋体"/>
          <w:sz w:val="24"/>
        </w:rPr>
        <w:t xml:space="preserve">根据SLA最后得分情况，划分为四个等级： </w:t>
      </w:r>
    </w:p>
    <w:p w14:paraId="49EFC2AB">
      <w:pPr>
        <w:spacing w:line="360" w:lineRule="auto"/>
        <w:ind w:firstLine="480" w:firstLineChars="200"/>
        <w:rPr>
          <w:rFonts w:hint="eastAsia" w:ascii="宋体" w:hAnsi="宋体"/>
          <w:sz w:val="24"/>
        </w:rPr>
      </w:pPr>
      <w:r>
        <w:rPr>
          <w:rFonts w:hint="eastAsia" w:ascii="宋体" w:hAnsi="宋体"/>
          <w:sz w:val="24"/>
        </w:rPr>
        <w:t>SLA&gt;=95的为优；</w:t>
      </w:r>
    </w:p>
    <w:p w14:paraId="0E0BFADB">
      <w:pPr>
        <w:spacing w:line="360" w:lineRule="auto"/>
        <w:ind w:firstLine="480" w:firstLineChars="200"/>
        <w:rPr>
          <w:rFonts w:hint="eastAsia" w:ascii="宋体" w:hAnsi="宋体"/>
          <w:sz w:val="24"/>
        </w:rPr>
      </w:pPr>
      <w:r>
        <w:rPr>
          <w:rFonts w:hint="eastAsia" w:ascii="宋体" w:hAnsi="宋体"/>
          <w:sz w:val="24"/>
        </w:rPr>
        <w:t>SLA在80-95的为良；</w:t>
      </w:r>
    </w:p>
    <w:p w14:paraId="7CA36A23">
      <w:pPr>
        <w:spacing w:line="360" w:lineRule="auto"/>
        <w:ind w:firstLine="480" w:firstLineChars="200"/>
        <w:rPr>
          <w:rFonts w:hint="eastAsia" w:ascii="宋体" w:hAnsi="宋体"/>
          <w:sz w:val="24"/>
        </w:rPr>
      </w:pPr>
      <w:r>
        <w:rPr>
          <w:rFonts w:hint="eastAsia" w:ascii="宋体" w:hAnsi="宋体"/>
          <w:sz w:val="24"/>
        </w:rPr>
        <w:t>SLA在60-80的为中；</w:t>
      </w:r>
    </w:p>
    <w:p w14:paraId="242BC4F7">
      <w:pPr>
        <w:spacing w:line="360" w:lineRule="auto"/>
        <w:ind w:firstLine="480" w:firstLineChars="200"/>
        <w:rPr>
          <w:rFonts w:hint="eastAsia" w:ascii="宋体" w:hAnsi="宋体"/>
          <w:sz w:val="24"/>
        </w:rPr>
      </w:pPr>
      <w:r>
        <w:rPr>
          <w:rFonts w:hint="eastAsia" w:ascii="宋体" w:hAnsi="宋体"/>
          <w:sz w:val="24"/>
        </w:rPr>
        <w:t>SLA&lt;60的为差。</w:t>
      </w:r>
    </w:p>
    <w:p w14:paraId="3E300222">
      <w:pPr>
        <w:adjustRightInd w:val="0"/>
        <w:spacing w:line="360" w:lineRule="auto"/>
        <w:ind w:firstLine="480" w:firstLineChars="200"/>
        <w:textAlignment w:val="baseline"/>
        <w:rPr>
          <w:rFonts w:hint="eastAsia" w:ascii="宋体" w:hAnsi="宋体" w:cs="楷体_GB2312"/>
          <w:sz w:val="24"/>
        </w:rPr>
      </w:pPr>
      <w:bookmarkStart w:id="24" w:name="_Toc7716"/>
      <w:r>
        <w:rPr>
          <w:rFonts w:hint="eastAsia" w:ascii="宋体" w:hAnsi="宋体" w:cs="楷体_GB2312"/>
          <w:sz w:val="24"/>
        </w:rPr>
        <w:t>（三）违约责任</w:t>
      </w:r>
      <w:bookmarkEnd w:id="24"/>
    </w:p>
    <w:p w14:paraId="52CEBA5A">
      <w:pPr>
        <w:spacing w:line="360" w:lineRule="auto"/>
        <w:ind w:firstLine="480" w:firstLineChars="200"/>
        <w:jc w:val="left"/>
        <w:rPr>
          <w:rFonts w:hint="eastAsia" w:ascii="宋体" w:hAnsi="宋体" w:cs="仿宋_GB2312"/>
          <w:sz w:val="24"/>
        </w:rPr>
      </w:pPr>
      <w:r>
        <w:rPr>
          <w:rFonts w:hint="eastAsia" w:ascii="宋体" w:hAnsi="宋体" w:cs="仿宋_GB2312"/>
          <w:sz w:val="24"/>
        </w:rPr>
        <w:t>1.供应商在合同签署后，需要按上线计划完成投产上线。如因供应商原因导致未能按期投产上线，将按照每逾期一日，扣除“合同价款”的千分之五（5‰）。</w:t>
      </w:r>
    </w:p>
    <w:p w14:paraId="5FCFED07">
      <w:pPr>
        <w:spacing w:line="360" w:lineRule="auto"/>
        <w:ind w:firstLine="480" w:firstLineChars="200"/>
        <w:rPr>
          <w:rFonts w:hint="eastAsia" w:ascii="宋体" w:hAnsi="宋体" w:cs="仿宋_GB2312"/>
          <w:sz w:val="24"/>
        </w:rPr>
      </w:pPr>
      <w:r>
        <w:rPr>
          <w:rFonts w:hint="eastAsia" w:ascii="宋体" w:hAnsi="宋体" w:cs="仿宋_GB2312"/>
          <w:sz w:val="24"/>
        </w:rPr>
        <w:t>2.SLA考核的罚则。</w:t>
      </w:r>
    </w:p>
    <w:p w14:paraId="46C519AF">
      <w:pPr>
        <w:spacing w:line="360" w:lineRule="auto"/>
        <w:ind w:firstLine="480" w:firstLineChars="200"/>
        <w:rPr>
          <w:rFonts w:hint="eastAsia" w:ascii="宋体" w:hAnsi="宋体" w:cs="仿宋_GB2312"/>
          <w:sz w:val="24"/>
        </w:rPr>
      </w:pPr>
      <w:r>
        <w:rPr>
          <w:rFonts w:hint="eastAsia" w:ascii="宋体" w:hAnsi="宋体" w:cs="仿宋_GB2312"/>
          <w:sz w:val="24"/>
        </w:rPr>
        <w:t>（1）SLA考核为良：约谈公司高管，提出服务质量保障具体措施并限期落实；</w:t>
      </w:r>
    </w:p>
    <w:p w14:paraId="127716E2">
      <w:pPr>
        <w:spacing w:line="360" w:lineRule="auto"/>
        <w:ind w:firstLine="480" w:firstLineChars="200"/>
        <w:rPr>
          <w:rFonts w:hint="eastAsia" w:ascii="宋体" w:hAnsi="宋体" w:cs="仿宋_GB2312"/>
          <w:sz w:val="24"/>
        </w:rPr>
      </w:pPr>
      <w:r>
        <w:rPr>
          <w:rFonts w:hint="eastAsia" w:ascii="宋体" w:hAnsi="宋体" w:cs="仿宋_GB2312"/>
          <w:sz w:val="24"/>
        </w:rPr>
        <w:t>（2）SLA考核为中：约谈公司高管，提出服务质量保障具体措施并限期落实，从本次付款起每期付款顺次延迟半年支付，如有多次延迟的，延迟期限叠加。</w:t>
      </w:r>
    </w:p>
    <w:p w14:paraId="38B16F48">
      <w:r>
        <w:rPr>
          <w:rFonts w:hint="eastAsia" w:ascii="宋体" w:hAnsi="宋体" w:cs="仿宋_GB2312"/>
          <w:sz w:val="24"/>
        </w:rPr>
        <w:t>（3）SLA 考核为差：约谈公司高管，提出服务质量保障具体措施并限期落实，暂停本次及以后各期款项支付，直至下次考核时服务质量达到中级以上，接续按以上标准执行。如已是最后一次验收，则扣除“合同价款”的百分之五（5%）。</w:t>
      </w:r>
      <w:bookmarkEnd w:id="22"/>
      <w:bookmarkEnd w:id="23"/>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962B"/>
    <w:multiLevelType w:val="singleLevel"/>
    <w:tmpl w:val="84DF962B"/>
    <w:lvl w:ilvl="0" w:tentative="0">
      <w:start w:val="2"/>
      <w:numFmt w:val="chineseCounting"/>
      <w:suff w:val="nothing"/>
      <w:lvlText w:val="（%1）"/>
      <w:lvlJc w:val="left"/>
      <w:rPr>
        <w:rFonts w:hint="eastAsia"/>
      </w:rPr>
    </w:lvl>
  </w:abstractNum>
  <w:abstractNum w:abstractNumId="1">
    <w:nsid w:val="AE84738A"/>
    <w:multiLevelType w:val="singleLevel"/>
    <w:tmpl w:val="AE84738A"/>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2">
    <w:nsid w:val="E60D9477"/>
    <w:multiLevelType w:val="singleLevel"/>
    <w:tmpl w:val="E60D9477"/>
    <w:lvl w:ilvl="0" w:tentative="0">
      <w:start w:val="2"/>
      <w:numFmt w:val="chineseCounting"/>
      <w:suff w:val="nothing"/>
      <w:lvlText w:val="%1、"/>
      <w:lvlJc w:val="left"/>
      <w:rPr>
        <w:rFonts w:hint="eastAsia"/>
      </w:rPr>
    </w:lvl>
  </w:abstractNum>
  <w:abstractNum w:abstractNumId="3">
    <w:nsid w:val="4F3B93A5"/>
    <w:multiLevelType w:val="singleLevel"/>
    <w:tmpl w:val="4F3B93A5"/>
    <w:lvl w:ilvl="0" w:tentative="0">
      <w:start w:val="3"/>
      <w:numFmt w:val="chineseCounting"/>
      <w:suff w:val="nothing"/>
      <w:lvlText w:val="%1、"/>
      <w:lvlJc w:val="left"/>
      <w:rPr>
        <w:rFonts w:hint="eastAsia"/>
      </w:rPr>
    </w:lvl>
  </w:abstractNum>
  <w:abstractNum w:abstractNumId="4">
    <w:nsid w:val="58599E33"/>
    <w:multiLevelType w:val="singleLevel"/>
    <w:tmpl w:val="58599E33"/>
    <w:lvl w:ilvl="0" w:tentative="0">
      <w:start w:val="3"/>
      <w:numFmt w:val="decimal"/>
      <w:suff w:val="nothing"/>
      <w:lvlText w:val="（%1）"/>
      <w:lvlJc w:val="left"/>
    </w:lvl>
  </w:abstractNum>
  <w:abstractNum w:abstractNumId="5">
    <w:nsid w:val="73942994"/>
    <w:multiLevelType w:val="singleLevel"/>
    <w:tmpl w:val="73942994"/>
    <w:lvl w:ilvl="0" w:tentative="0">
      <w:start w:val="1"/>
      <w:numFmt w:val="bullet"/>
      <w:lvlText w:val=""/>
      <w:lvlJc w:val="left"/>
      <w:pPr>
        <w:ind w:left="1050" w:hanging="420"/>
      </w:pPr>
      <w:rPr>
        <w:rFonts w:hint="default" w:ascii="Wingdings" w:hAnsi="Wingdings"/>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53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sz w:val="24"/>
    </w:rPr>
  </w:style>
  <w:style w:type="paragraph" w:styleId="3">
    <w:name w:val="Body Text Indent"/>
    <w:basedOn w:val="1"/>
    <w:qFormat/>
    <w:uiPriority w:val="0"/>
    <w:pPr>
      <w:ind w:left="1260"/>
    </w:pPr>
    <w:rPr>
      <w:rFonts w:ascii="Calibri" w:hAnsi="Calibri"/>
    </w:rPr>
  </w:style>
  <w:style w:type="table" w:customStyle="1" w:styleId="6">
    <w:name w:val="网格型35"/>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2026-03-13T09:39:50Z</dcterms:created>
  <dc:creator>31369</dc:creator>
  <cp:lastModifiedBy>罗雨锋</cp:lastModifiedBy>
  <dcterms:modified xsi:type="dcterms:W3CDTF">2026-03-13T09:40:18Z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eyJoZGlkIjoiYWYwMTgyYzE0OGNjNWE4YTcwMDNkOTgzOTdjNTU1OGYiLCJ1c2VySWQiOiIyNDQ4MTA2OTcifQ==</vt:lpwstr>
  </property>
  <property fmtid="{D5CDD505-2E9C-101B-9397-08002B2CF9AE}" pid="4" name="ICV">
    <vt:lpwstr>3DF7B204A5984220AE1209F095DFEE31_12</vt:lpwstr>
  </property>
</Properties>
</file>