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C5BFE">
      <w:pPr>
        <w:jc w:val="center"/>
        <w:rPr>
          <w:rFonts w:ascii="华文中宋" w:hAnsi="华文中宋" w:eastAsia="华文中宋" w:cs="华文中宋"/>
          <w:sz w:val="36"/>
          <w:szCs w:val="36"/>
        </w:rPr>
      </w:pPr>
      <w:bookmarkStart w:id="0" w:name="_GoBack"/>
      <w:bookmarkEnd w:id="0"/>
      <w:r>
        <w:rPr>
          <w:rFonts w:hint="eastAsia" w:ascii="华文中宋" w:hAnsi="华文中宋" w:eastAsia="华文中宋" w:cs="华文中宋"/>
          <w:sz w:val="36"/>
          <w:szCs w:val="36"/>
        </w:rPr>
        <w:t>单一来源采购方式建议说明表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6949"/>
      </w:tblGrid>
      <w:tr w14:paraId="28A2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Align w:val="top"/>
          </w:tcPr>
          <w:p w14:paraId="0741584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949" w:type="dxa"/>
            <w:vAlign w:val="top"/>
          </w:tcPr>
          <w:p w14:paraId="11F082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FF"/>
                <w:sz w:val="28"/>
                <w:szCs w:val="28"/>
              </w:rPr>
            </w:pPr>
            <w:r>
              <w:rPr>
                <w:rFonts w:hint="eastAsia" w:ascii="仿宋_GB2312" w:hAnsi="宋体" w:eastAsia="仿宋_GB2312" w:cs="仿宋_GB2312"/>
                <w:color w:val="000000"/>
                <w:kern w:val="0"/>
                <w:sz w:val="28"/>
                <w:szCs w:val="28"/>
                <w:u w:val="none"/>
                <w:lang w:bidi="ar"/>
              </w:rPr>
              <w:t>2026年联合开发系统</w:t>
            </w:r>
            <w:r>
              <w:rPr>
                <w:rFonts w:hint="eastAsia" w:ascii="仿宋_GB2312" w:hAnsi="宋体" w:eastAsia="仿宋_GB2312" w:cs="仿宋_GB2312"/>
                <w:color w:val="000000"/>
                <w:kern w:val="0"/>
                <w:sz w:val="28"/>
                <w:szCs w:val="28"/>
                <w:u w:val="none"/>
                <w:lang w:eastAsia="zh-CN" w:bidi="ar"/>
              </w:rPr>
              <w:t>（</w:t>
            </w:r>
            <w:r>
              <w:rPr>
                <w:rFonts w:hint="eastAsia" w:ascii="仿宋_GB2312" w:hAnsi="宋体" w:eastAsia="仿宋_GB2312" w:cs="仿宋_GB2312"/>
                <w:color w:val="000000"/>
                <w:kern w:val="0"/>
                <w:sz w:val="28"/>
                <w:szCs w:val="28"/>
                <w:u w:val="none"/>
                <w:lang w:val="en-US" w:eastAsia="zh-CN" w:bidi="ar"/>
              </w:rPr>
              <w:t>监管报送需求）</w:t>
            </w:r>
            <w:r>
              <w:rPr>
                <w:rFonts w:hint="eastAsia" w:ascii="仿宋_GB2312" w:hAnsi="宋体" w:eastAsia="仿宋_GB2312" w:cs="仿宋_GB2312"/>
                <w:color w:val="000000"/>
                <w:kern w:val="0"/>
                <w:sz w:val="28"/>
                <w:szCs w:val="28"/>
                <w:u w:val="none"/>
                <w:lang w:bidi="ar"/>
              </w:rPr>
              <w:t>实施项目</w:t>
            </w:r>
          </w:p>
        </w:tc>
      </w:tr>
      <w:tr w14:paraId="7DA3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Align w:val="top"/>
          </w:tcPr>
          <w:p w14:paraId="6F8D69E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w:t>
            </w:r>
          </w:p>
        </w:tc>
        <w:tc>
          <w:tcPr>
            <w:tcW w:w="6949" w:type="dxa"/>
            <w:vAlign w:val="top"/>
          </w:tcPr>
          <w:p w14:paraId="083E05F2">
            <w:pPr>
              <w:jc w:val="left"/>
              <w:rPr>
                <w:rFonts w:hint="default" w:ascii="仿宋_GB2312" w:hAnsi="仿宋_GB2312" w:eastAsia="仿宋_GB2312" w:cs="仿宋_GB2312"/>
                <w:i/>
                <w:iCs/>
                <w:color w:val="0000FF"/>
                <w:sz w:val="28"/>
                <w:szCs w:val="28"/>
                <w:lang w:val="en-US" w:eastAsia="zh-CN"/>
              </w:rPr>
            </w:pPr>
            <w:r>
              <w:rPr>
                <w:rFonts w:hint="eastAsia" w:ascii="仿宋_GB2312" w:hAnsi="宋体" w:eastAsia="仿宋_GB2312" w:cs="仿宋_GB2312"/>
                <w:i w:val="0"/>
                <w:iCs w:val="0"/>
                <w:color w:val="000000"/>
                <w:kern w:val="0"/>
                <w:sz w:val="28"/>
                <w:szCs w:val="28"/>
                <w:u w:val="none"/>
                <w:lang w:val="en-US" w:eastAsia="zh-CN" w:bidi="ar"/>
              </w:rPr>
              <w:t>850万元</w:t>
            </w:r>
          </w:p>
        </w:tc>
      </w:tr>
      <w:tr w14:paraId="4177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Align w:val="top"/>
          </w:tcPr>
          <w:p w14:paraId="2C3BCED2">
            <w:pPr>
              <w:jc w:val="left"/>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推荐供应商</w:t>
            </w:r>
          </w:p>
        </w:tc>
        <w:tc>
          <w:tcPr>
            <w:tcW w:w="6949" w:type="dxa"/>
            <w:vAlign w:val="top"/>
          </w:tcPr>
          <w:p w14:paraId="67541577">
            <w:pPr>
              <w:jc w:val="left"/>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建信金融科技有限责任公司</w:t>
            </w:r>
          </w:p>
        </w:tc>
      </w:tr>
      <w:tr w14:paraId="6FE4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573" w:type="dxa"/>
            <w:vAlign w:val="top"/>
          </w:tcPr>
          <w:p w14:paraId="6B52291D">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单一来源采购方式适用情形</w:t>
            </w:r>
          </w:p>
        </w:tc>
        <w:tc>
          <w:tcPr>
            <w:tcW w:w="6949" w:type="dxa"/>
            <w:vAlign w:val="top"/>
          </w:tcPr>
          <w:p w14:paraId="6CC483FE">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只能从唯一供应商处采购的</w:t>
            </w:r>
          </w:p>
          <w:p w14:paraId="11C7C4C5">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发生了不可预见的紧急情况不能从其他供应商处采购的</w:t>
            </w:r>
          </w:p>
          <w:p w14:paraId="2F66715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必须保证原有采购项目一致性或者服务配套的要求，需要再次向原供应商采购的</w:t>
            </w:r>
          </w:p>
        </w:tc>
      </w:tr>
      <w:tr w14:paraId="3043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Align w:val="center"/>
          </w:tcPr>
          <w:p w14:paraId="51F87CC7">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往期采购情况</w:t>
            </w:r>
          </w:p>
        </w:tc>
        <w:tc>
          <w:tcPr>
            <w:tcW w:w="6949" w:type="dxa"/>
            <w:vAlign w:val="top"/>
          </w:tcPr>
          <w:p w14:paraId="51A4C0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IT系统建设咨询、联合开发（一期）、巩固提升专项、2023年联合开发系统需求实施、2023年联合开发系统不可预见需求实施服务、2024年联合开发系统需求等多个系统建设项目</w:t>
            </w:r>
          </w:p>
        </w:tc>
      </w:tr>
      <w:tr w14:paraId="431B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Merge w:val="restart"/>
            <w:vAlign w:val="center"/>
          </w:tcPr>
          <w:p w14:paraId="3FD7625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推荐供应商情况</w:t>
            </w:r>
          </w:p>
        </w:tc>
        <w:tc>
          <w:tcPr>
            <w:tcW w:w="6949" w:type="dxa"/>
            <w:vAlign w:val="top"/>
          </w:tcPr>
          <w:p w14:paraId="6B6F950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与同业合作案例：</w:t>
            </w:r>
            <w:r>
              <w:rPr>
                <w:rFonts w:hint="eastAsia" w:ascii="仿宋_GB2312" w:hAnsi="仿宋_GB2312" w:eastAsia="仿宋_GB2312" w:cs="仿宋_GB2312"/>
                <w:sz w:val="28"/>
                <w:szCs w:val="28"/>
                <w:lang w:val="en-US" w:eastAsia="zh-CN"/>
              </w:rPr>
              <w:t>与国家开发银行、恒丰银行、蒙商银行等均有相关合作案例</w:t>
            </w:r>
            <w:r>
              <w:rPr>
                <w:rFonts w:hint="eastAsia" w:ascii="仿宋_GB2312" w:hAnsi="仿宋_GB2312" w:eastAsia="仿宋_GB2312" w:cs="仿宋_GB2312"/>
                <w:sz w:val="28"/>
                <w:szCs w:val="28"/>
              </w:rPr>
              <w:t>。</w:t>
            </w:r>
          </w:p>
        </w:tc>
      </w:tr>
      <w:tr w14:paraId="449D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Merge w:val="continue"/>
            <w:vAlign w:val="top"/>
          </w:tcPr>
          <w:p w14:paraId="2FD92E4A">
            <w:pPr>
              <w:jc w:val="left"/>
              <w:rPr>
                <w:rFonts w:hint="eastAsia" w:ascii="仿宋_GB2312" w:hAnsi="仿宋_GB2312" w:eastAsia="仿宋_GB2312" w:cs="仿宋_GB2312"/>
                <w:sz w:val="28"/>
                <w:szCs w:val="28"/>
              </w:rPr>
            </w:pPr>
          </w:p>
        </w:tc>
        <w:tc>
          <w:tcPr>
            <w:tcW w:w="6949" w:type="dxa"/>
            <w:vAlign w:val="top"/>
          </w:tcPr>
          <w:p w14:paraId="58E8F4D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供应商评价：</w:t>
            </w:r>
            <w:r>
              <w:rPr>
                <w:rFonts w:hint="eastAsia" w:ascii="仿宋_GB2312" w:hAnsi="仿宋_GB2312" w:eastAsia="仿宋_GB2312" w:cs="仿宋_GB2312"/>
                <w:sz w:val="28"/>
                <w:szCs w:val="28"/>
                <w:lang w:val="en-US" w:eastAsia="zh-CN"/>
              </w:rPr>
              <w:t>该供应商为我行最重要的业务系统实施厂商，为我行提供169个业务系统的实施，占我行业务系统数量的80%以上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该供应商</w:t>
            </w:r>
            <w:r>
              <w:rPr>
                <w:rFonts w:hint="eastAsia" w:ascii="仿宋_GB2312" w:hAnsi="仿宋_GB2312" w:eastAsia="仿宋_GB2312" w:cs="仿宋_GB2312"/>
                <w:sz w:val="28"/>
                <w:szCs w:val="28"/>
                <w:vertAlign w:val="baseline"/>
                <w:lang w:val="en-US" w:eastAsia="zh-CN"/>
              </w:rPr>
              <w:t>技术能力、人员素质和整体服务水平良好。</w:t>
            </w:r>
          </w:p>
        </w:tc>
      </w:tr>
      <w:tr w14:paraId="6B58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573" w:type="dxa"/>
            <w:vAlign w:val="top"/>
          </w:tcPr>
          <w:p w14:paraId="26F7237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本期项目开展的必要性说明</w:t>
            </w:r>
          </w:p>
        </w:tc>
        <w:tc>
          <w:tcPr>
            <w:tcW w:w="6949" w:type="dxa"/>
            <w:vAlign w:val="top"/>
          </w:tcPr>
          <w:p w14:paraId="01C1C14C">
            <w:pPr>
              <w:pageBreakBefore w:val="0"/>
              <w:widowControl w:val="0"/>
              <w:kinsoku/>
              <w:wordWrap/>
              <w:overflowPunct/>
              <w:topLinePunct w:val="0"/>
              <w:autoSpaceDE/>
              <w:autoSpaceDN/>
              <w:bidi w:val="0"/>
              <w:adjustRightInd/>
              <w:snapToGrid/>
              <w:spacing w:before="0" w:beforeLines="-2147483648" w:after="0" w:afterLines="-2147483648" w:line="56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国家金融监督管理总局</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人民银行2025年12月发布关于2026年新监管报表报送的通知，要求我行于2026年2月开始按新监管报送要求进行报送。</w:t>
            </w:r>
          </w:p>
          <w:p w14:paraId="4CA109C2">
            <w:pPr>
              <w:pageBreakBefore w:val="0"/>
              <w:widowControl w:val="0"/>
              <w:kinsoku/>
              <w:wordWrap/>
              <w:overflowPunct/>
              <w:topLinePunct w:val="0"/>
              <w:autoSpaceDE/>
              <w:autoSpaceDN/>
              <w:bidi w:val="0"/>
              <w:adjustRightInd/>
              <w:snapToGrid/>
              <w:spacing w:before="0" w:beforeLines="-2147483648" w:after="0" w:afterLines="-2147483648" w:line="56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监管报送需求的开发涉及多个组件的协同，主要实施集中在监管应用领域，其他领域系统涉及配套改造工作。</w:t>
            </w:r>
          </w:p>
          <w:p w14:paraId="73DFFA1F">
            <w:pPr>
              <w:pageBreakBefore w:val="0"/>
              <w:widowControl w:val="0"/>
              <w:kinsoku/>
              <w:wordWrap/>
              <w:overflowPunct/>
              <w:topLinePunct w:val="0"/>
              <w:autoSpaceDE/>
              <w:autoSpaceDN/>
              <w:bidi w:val="0"/>
              <w:adjustRightInd/>
              <w:snapToGrid/>
              <w:spacing w:before="0" w:beforeLines="-2147483648" w:after="0" w:afterLines="-2147483648" w:line="56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综上，因监管要求我行于2026年2月开始按新监管报送</w:t>
            </w:r>
            <w:r>
              <w:rPr>
                <w:rFonts w:hint="eastAsia" w:ascii="仿宋_GB2312" w:hAnsi="仿宋_GB2312" w:eastAsia="仿宋_GB2312" w:cs="仿宋_GB2312"/>
                <w:sz w:val="28"/>
                <w:szCs w:val="28"/>
                <w:lang w:val="en-US" w:eastAsia="zh-CN"/>
              </w:rPr>
              <w:t>要求</w:t>
            </w:r>
            <w:r>
              <w:rPr>
                <w:rFonts w:hint="default" w:ascii="仿宋_GB2312" w:hAnsi="仿宋_GB2312" w:eastAsia="仿宋_GB2312" w:cs="仿宋_GB2312"/>
                <w:sz w:val="28"/>
                <w:szCs w:val="28"/>
                <w:lang w:val="en-US" w:eastAsia="zh-CN"/>
              </w:rPr>
              <w:t>进行报送及预计后续仍会继续提出报送要求，为做好我行2026年监管报送工作，拟开展2026年联合开发系统监管报送需求实施项目。</w:t>
            </w:r>
          </w:p>
        </w:tc>
      </w:tr>
      <w:tr w14:paraId="2415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573" w:type="dxa"/>
            <w:vMerge w:val="restart"/>
            <w:vAlign w:val="top"/>
          </w:tcPr>
          <w:p w14:paraId="6162E864">
            <w:pPr>
              <w:rPr>
                <w:rFonts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单一来源采购方式必要性和合理性证明</w:t>
            </w:r>
          </w:p>
        </w:tc>
        <w:tc>
          <w:tcPr>
            <w:tcW w:w="6949" w:type="dxa"/>
            <w:vAlign w:val="top"/>
          </w:tcPr>
          <w:p w14:paraId="3D8134F1">
            <w:pPr>
              <w:pStyle w:val="1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技术方面：2019年以来，建信金科与我行在IT系统建设咨询、联合开发（一期）、巩固提升专项、2023年联合开发系统需求实施、2023年联合开发系统不可预见需求实施服务、2024年联合开发系统需求等多个系统建设项目中开展深度同业合作。建信金科团队经过项目建设的长期实践，熟悉我行应用系统的系统架构、技术体制及工作流程，具备实施此类需求的能力。同时，本项目涉及多个联合开发系统，均由建信金科以同业合作方式与我行联合开发完成，且往期需求涉及上述系统的功能改造工作也由建信金科实施完成。通过系统建设，建信金科对我行系统需求具有较深理解，对相应系统功能改造积累了较为成熟的经验，由建信金科开展本项目需求实施工作在系统建设延续性上具有明显优势。</w:t>
            </w:r>
          </w:p>
        </w:tc>
      </w:tr>
      <w:tr w14:paraId="1D0A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573" w:type="dxa"/>
            <w:vMerge w:val="continue"/>
            <w:vAlign w:val="top"/>
          </w:tcPr>
          <w:p w14:paraId="4D2EACAD">
            <w:pPr>
              <w:jc w:val="left"/>
              <w:rPr>
                <w:rFonts w:hint="eastAsia" w:ascii="仿宋_GB2312" w:hAnsi="仿宋_GB2312" w:eastAsia="仿宋_GB2312" w:cs="仿宋_GB2312"/>
                <w:sz w:val="28"/>
                <w:szCs w:val="28"/>
              </w:rPr>
            </w:pPr>
          </w:p>
        </w:tc>
        <w:tc>
          <w:tcPr>
            <w:tcW w:w="6949" w:type="dxa"/>
            <w:vAlign w:val="top"/>
          </w:tcPr>
          <w:p w14:paraId="1C0B2CCF">
            <w:pPr>
              <w:pStyle w:val="1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业务方面：业务部门根据监管部门正式下发2026年监管报送要求提出的需求。此类需求是有监管刚性约束急需实施的需求。</w:t>
            </w:r>
          </w:p>
        </w:tc>
      </w:tr>
      <w:tr w14:paraId="7C6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73" w:type="dxa"/>
            <w:vMerge w:val="continue"/>
            <w:vAlign w:val="top"/>
          </w:tcPr>
          <w:p w14:paraId="53E126F8">
            <w:pPr>
              <w:jc w:val="left"/>
              <w:rPr>
                <w:rFonts w:hint="eastAsia" w:ascii="仿宋_GB2312" w:hAnsi="仿宋_GB2312" w:eastAsia="仿宋_GB2312" w:cs="仿宋_GB2312"/>
                <w:sz w:val="28"/>
                <w:szCs w:val="28"/>
              </w:rPr>
            </w:pPr>
          </w:p>
        </w:tc>
        <w:tc>
          <w:tcPr>
            <w:tcW w:w="6949" w:type="dxa"/>
            <w:vAlign w:val="top"/>
          </w:tcPr>
          <w:p w14:paraId="168F1AF7">
            <w:pPr>
              <w:keepNext w:val="0"/>
              <w:keepLines w:val="0"/>
              <w:pageBreakBefore w:val="0"/>
              <w:widowControl w:val="0"/>
              <w:kinsoku/>
              <w:wordWrap/>
              <w:overflowPunct/>
              <w:topLinePunct w:val="0"/>
              <w:autoSpaceDE/>
              <w:autoSpaceDN/>
              <w:bidi w:val="0"/>
              <w:adjustRightInd/>
              <w:snapToGrid/>
              <w:spacing w:line="240" w:lineRule="auto"/>
              <w:ind w:left="-46" w:leftChars="-2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管理方面：</w:t>
            </w:r>
            <w:r>
              <w:rPr>
                <w:rFonts w:hint="eastAsia" w:ascii="仿宋_GB2312" w:hAnsi="仿宋_GB2312" w:eastAsia="仿宋_GB2312" w:cs="仿宋_GB2312"/>
                <w:sz w:val="28"/>
                <w:szCs w:val="28"/>
                <w:highlight w:val="none"/>
                <w:vertAlign w:val="baseline"/>
                <w:lang w:val="en-US" w:eastAsia="zh-CN"/>
              </w:rPr>
              <w:t>在往期项目实施中，我行与建信金科建立了良好的沟通机制。建信金科了解现有系统架构、功能与配置，熟悉源代码，项目执行中整体的沟通成本较低，与我行配合情况良好，能够高效推进项目执行</w:t>
            </w:r>
            <w:r>
              <w:rPr>
                <w:rFonts w:hint="eastAsia" w:ascii="仿宋_GB2312" w:hAnsi="仿宋_GB2312" w:eastAsia="仿宋_GB2312" w:cs="仿宋_GB2312"/>
                <w:sz w:val="28"/>
                <w:szCs w:val="28"/>
              </w:rPr>
              <w:t>。</w:t>
            </w:r>
          </w:p>
        </w:tc>
      </w:tr>
      <w:tr w14:paraId="4D09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573" w:type="dxa"/>
            <w:vMerge w:val="continue"/>
            <w:vAlign w:val="top"/>
          </w:tcPr>
          <w:p w14:paraId="7889B1B6">
            <w:pPr>
              <w:jc w:val="left"/>
              <w:rPr>
                <w:rFonts w:hint="eastAsia" w:ascii="仿宋_GB2312" w:hAnsi="仿宋_GB2312" w:eastAsia="仿宋_GB2312" w:cs="仿宋_GB2312"/>
                <w:sz w:val="28"/>
                <w:szCs w:val="28"/>
              </w:rPr>
            </w:pPr>
          </w:p>
        </w:tc>
        <w:tc>
          <w:tcPr>
            <w:tcW w:w="6949" w:type="dxa"/>
            <w:vAlign w:val="top"/>
          </w:tcPr>
          <w:p w14:paraId="3E5479FB">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场竞争方面：本项目可能存在潜在供应商能够承接相关工作，但考虑其他供应商对我行联合开发系统的业务功能、架构设计、源代码、技术流程工艺均不熟悉，且项目需求上线时点有明确要求，在实施层面对比建信金科不具备可行性。</w:t>
            </w:r>
          </w:p>
        </w:tc>
      </w:tr>
      <w:tr w14:paraId="4103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73" w:type="dxa"/>
            <w:vMerge w:val="continue"/>
            <w:vAlign w:val="top"/>
          </w:tcPr>
          <w:p w14:paraId="47276602">
            <w:pPr>
              <w:jc w:val="left"/>
              <w:rPr>
                <w:rFonts w:hint="eastAsia" w:ascii="仿宋_GB2312" w:hAnsi="仿宋_GB2312" w:eastAsia="仿宋_GB2312" w:cs="仿宋_GB2312"/>
                <w:sz w:val="28"/>
                <w:szCs w:val="28"/>
              </w:rPr>
            </w:pPr>
          </w:p>
        </w:tc>
        <w:tc>
          <w:tcPr>
            <w:tcW w:w="6949" w:type="dxa"/>
            <w:vAlign w:val="top"/>
          </w:tcPr>
          <w:p w14:paraId="281D4F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风险方面：替换供应商将带来</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大的项目实施风险，由于</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供应商不了解我行</w:t>
            </w:r>
            <w:r>
              <w:rPr>
                <w:rFonts w:hint="eastAsia" w:ascii="仿宋_GB2312" w:hAnsi="仿宋_GB2312" w:eastAsia="仿宋_GB2312" w:cs="仿宋_GB2312"/>
                <w:sz w:val="28"/>
                <w:szCs w:val="28"/>
                <w:lang w:val="en-US" w:eastAsia="zh-CN"/>
              </w:rPr>
              <w:t>联合开发系统的</w:t>
            </w:r>
            <w:r>
              <w:rPr>
                <w:rFonts w:hint="eastAsia" w:ascii="仿宋_GB2312" w:hAnsi="仿宋_GB2312" w:eastAsia="仿宋_GB2312" w:cs="仿宋_GB2312"/>
                <w:sz w:val="28"/>
                <w:szCs w:val="28"/>
              </w:rPr>
              <w:t>架构设计、模块划分、功能实现、代码逻辑、处理流程、参数配置、数据库配置以及系统间接口的设计与实现方式，不熟悉系统源代码</w:t>
            </w:r>
            <w:r>
              <w:rPr>
                <w:rFonts w:hint="eastAsia" w:ascii="仿宋_GB2312" w:hAnsi="仿宋_GB2312" w:eastAsia="仿宋_GB2312" w:cs="仿宋_GB2312"/>
                <w:sz w:val="28"/>
                <w:szCs w:val="28"/>
                <w:lang w:val="en-US" w:eastAsia="zh-CN"/>
              </w:rPr>
              <w:t>和监管报送相关系统功能改造情况，需要额外时间进行学习了解。本项目待实施需求均有明确的投产时间要求，替换厂商后无法保证在有限的时间内完成相关工作，</w:t>
            </w:r>
            <w:r>
              <w:rPr>
                <w:rFonts w:hint="eastAsia" w:ascii="仿宋_GB2312" w:hAnsi="仿宋_GB2312" w:eastAsia="仿宋_GB2312" w:cs="仿宋_GB2312"/>
                <w:sz w:val="28"/>
                <w:szCs w:val="28"/>
              </w:rPr>
              <w:t>将面临成本、质量和工期等多方面的风险，项目质量将出现不可控的情况。</w:t>
            </w:r>
          </w:p>
        </w:tc>
      </w:tr>
    </w:tbl>
    <w:p w14:paraId="249A1087">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5A53"/>
    <w:rsid w:val="029A2F26"/>
    <w:rsid w:val="0A3C5F72"/>
    <w:rsid w:val="11E11290"/>
    <w:rsid w:val="141906B3"/>
    <w:rsid w:val="174B4B7B"/>
    <w:rsid w:val="1A754636"/>
    <w:rsid w:val="1AD91FEA"/>
    <w:rsid w:val="1E950999"/>
    <w:rsid w:val="1F9F2860"/>
    <w:rsid w:val="22D7529A"/>
    <w:rsid w:val="24CD4C2B"/>
    <w:rsid w:val="2A5434C6"/>
    <w:rsid w:val="326E63CA"/>
    <w:rsid w:val="36372206"/>
    <w:rsid w:val="37515262"/>
    <w:rsid w:val="3E430110"/>
    <w:rsid w:val="41415B8C"/>
    <w:rsid w:val="52823AD5"/>
    <w:rsid w:val="5BDE0720"/>
    <w:rsid w:val="6154137C"/>
    <w:rsid w:val="62A4481C"/>
    <w:rsid w:val="63551DF3"/>
    <w:rsid w:val="69002580"/>
    <w:rsid w:val="6CF41C9A"/>
    <w:rsid w:val="6FF64000"/>
    <w:rsid w:val="797274B2"/>
    <w:rsid w:val="7B1178E1"/>
    <w:rsid w:val="7C5F7A87"/>
    <w:rsid w:val="EFAE6D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400" w:lineRule="exact"/>
      <w:ind w:firstLine="420" w:firstLineChars="200"/>
    </w:pPr>
    <w:rPr>
      <w:rFonts w:eastAsia="仿宋"/>
      <w:sz w:val="24"/>
    </w:rPr>
  </w:style>
  <w:style w:type="paragraph" w:styleId="3">
    <w:name w:val="caption"/>
    <w:basedOn w:val="1"/>
    <w:next w:val="1"/>
    <w:unhideWhenUsed/>
    <w:qFormat/>
    <w:uiPriority w:val="0"/>
    <w:rPr>
      <w:rFonts w:ascii="DejaVu Sans" w:hAnsi="DejaVu Sans" w:eastAsia="方正黑体_GBK"/>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10"/>
    <w:pPr>
      <w:spacing w:before="240" w:after="60"/>
      <w:jc w:val="center"/>
      <w:outlineLvl w:val="0"/>
    </w:pPr>
    <w:rPr>
      <w:rFonts w:ascii="Cambria" w:hAnsi="Cambria"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link w:val="13"/>
    <w:qFormat/>
    <w:uiPriority w:val="34"/>
    <w:pPr>
      <w:spacing w:line="360" w:lineRule="auto"/>
      <w:ind w:firstLine="420" w:firstLineChars="200"/>
    </w:pPr>
    <w:rPr>
      <w:sz w:val="24"/>
    </w:rPr>
  </w:style>
  <w:style w:type="character" w:customStyle="1" w:styleId="13">
    <w:name w:val="列表段落 字符"/>
    <w:link w:val="12"/>
    <w:qFormat/>
    <w:locked/>
    <w:uiPriority w:val="34"/>
    <w:rPr>
      <w:kern w:val="2"/>
      <w:sz w:val="24"/>
      <w:szCs w:val="24"/>
    </w:rPr>
  </w:style>
  <w:style w:type="paragraph" w:customStyle="1" w:styleId="14">
    <w:name w:val="_Style 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1329</Words>
  <Characters>1383</Characters>
  <Lines>23</Lines>
  <Paragraphs>6</Paragraphs>
  <TotalTime>1</TotalTime>
  <ScaleCrop>false</ScaleCrop>
  <LinksUpToDate>false</LinksUpToDate>
  <CharactersWithSpaces>1387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2022-06-06T23:00:00Z</dcterms:created>
  <dc:creator>祁曦</dc:creator>
  <cp:lastModifiedBy>罗雨锋</cp:lastModifiedBy>
  <dcterms:modified xsi:type="dcterms:W3CDTF">2026-03-13T09:23:36Z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1A94BB1769D8494BBFABB218D2E91078</vt:lpwstr>
  </property>
  <property fmtid="{D5CDD505-2E9C-101B-9397-08002B2CF9AE}" pid="4" name="KSOTemplateDocerSaveRecord">
    <vt:lpwstr>eyJoZGlkIjoiYWYwMTgyYzE0OGNjNWE4YTcwMDNkOTgzOTdjNTU1OGYiLCJ1c2VySWQiOiIyNDQ4MTA2OTcifQ==</vt:lpwstr>
  </property>
</Properties>
</file>