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CB0A"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bookmarkStart w:id="0" w:name="_Toc178582706"/>
    </w:p>
    <w:p w14:paraId="544CB247">
      <w:pPr>
        <w:adjustRightInd w:val="0"/>
        <w:snapToGrid w:val="0"/>
        <w:spacing w:line="360" w:lineRule="auto"/>
        <w:outlineLvl w:val="0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黑体" w:hAnsi="黑体" w:eastAsia="黑体"/>
          <w:snapToGrid w:val="0"/>
          <w:spacing w:val="-10"/>
          <w:w w:val="90"/>
          <w:sz w:val="28"/>
        </w:rPr>
        <w:t>附件</w:t>
      </w:r>
      <w:r>
        <w:rPr>
          <w:rFonts w:hint="eastAsia" w:ascii="黑体" w:hAnsi="黑体" w:eastAsia="黑体"/>
          <w:snapToGrid w:val="0"/>
          <w:spacing w:val="-10"/>
          <w:w w:val="90"/>
          <w:sz w:val="28"/>
          <w:lang w:val="en-US" w:eastAsia="zh-CN"/>
        </w:rPr>
        <w:t>3</w:t>
      </w:r>
      <w:r>
        <w:rPr>
          <w:rFonts w:hint="eastAsia" w:ascii="黑体" w:hAnsi="黑体" w:eastAsia="黑体"/>
          <w:snapToGrid w:val="0"/>
          <w:spacing w:val="-10"/>
          <w:w w:val="90"/>
          <w:sz w:val="28"/>
        </w:rPr>
        <w:t>：单一来源采购方式建议说明表</w:t>
      </w:r>
      <w:bookmarkEnd w:id="0"/>
    </w:p>
    <w:p w14:paraId="74B4A10D"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单一来源采购方式建议说明表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896"/>
      </w:tblGrid>
      <w:tr w14:paraId="65CD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noWrap w:val="0"/>
            <w:vAlign w:val="top"/>
          </w:tcPr>
          <w:p w14:paraId="0830C7D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076" w:type="pct"/>
            <w:noWrap w:val="0"/>
            <w:vAlign w:val="top"/>
          </w:tcPr>
          <w:p w14:paraId="489F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2026年联合开发系统（一表通）配套改造项目</w:t>
            </w:r>
          </w:p>
        </w:tc>
      </w:tr>
      <w:tr w14:paraId="3231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noWrap w:val="0"/>
            <w:vAlign w:val="top"/>
          </w:tcPr>
          <w:p w14:paraId="0A3499E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预算金额</w:t>
            </w:r>
          </w:p>
        </w:tc>
        <w:tc>
          <w:tcPr>
            <w:tcW w:w="4076" w:type="pct"/>
            <w:noWrap w:val="0"/>
            <w:vAlign w:val="top"/>
          </w:tcPr>
          <w:p w14:paraId="102F0EFA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890万元</w:t>
            </w:r>
          </w:p>
        </w:tc>
      </w:tr>
      <w:tr w14:paraId="0097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noWrap w:val="0"/>
            <w:vAlign w:val="top"/>
          </w:tcPr>
          <w:p w14:paraId="4FEF49B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推荐供应商</w:t>
            </w:r>
          </w:p>
        </w:tc>
        <w:tc>
          <w:tcPr>
            <w:tcW w:w="4076" w:type="pct"/>
            <w:noWrap w:val="0"/>
            <w:vAlign w:val="top"/>
          </w:tcPr>
          <w:p w14:paraId="754F18A4">
            <w:pPr>
              <w:jc w:val="left"/>
              <w:rPr>
                <w:rFonts w:hint="default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建信金融科技有限责任公司</w:t>
            </w:r>
          </w:p>
        </w:tc>
      </w:tr>
      <w:tr w14:paraId="3480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23" w:type="pct"/>
            <w:noWrap w:val="0"/>
            <w:vAlign w:val="top"/>
          </w:tcPr>
          <w:p w14:paraId="20335DE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单一来源采购方式适用情形</w:t>
            </w:r>
          </w:p>
        </w:tc>
        <w:tc>
          <w:tcPr>
            <w:tcW w:w="4076" w:type="pct"/>
            <w:noWrap w:val="0"/>
            <w:vAlign w:val="top"/>
          </w:tcPr>
          <w:p w14:paraId="449EE8D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只能从唯一供应商处采购的</w:t>
            </w:r>
          </w:p>
          <w:p w14:paraId="561AAF7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发生了不可预见的紧急情况不能从其他供应商处采购的</w:t>
            </w:r>
          </w:p>
          <w:p w14:paraId="2EA468A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必须保证原有采购项目一致性或者服务配套的要求，需要再次向原供应商采购的</w:t>
            </w:r>
          </w:p>
        </w:tc>
      </w:tr>
      <w:tr w14:paraId="1AE0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" w:type="pct"/>
            <w:noWrap w:val="0"/>
            <w:vAlign w:val="top"/>
          </w:tcPr>
          <w:p w14:paraId="0E64FBB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往期采购情况</w:t>
            </w:r>
          </w:p>
        </w:tc>
        <w:tc>
          <w:tcPr>
            <w:tcW w:w="4076" w:type="pct"/>
            <w:noWrap w:val="0"/>
            <w:vAlign w:val="top"/>
          </w:tcPr>
          <w:p w14:paraId="4FDC1AD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往期采购情况：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3"/>
              <w:gridCol w:w="4880"/>
              <w:gridCol w:w="1720"/>
            </w:tblGrid>
            <w:tr w14:paraId="03E21E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3" w:type="dxa"/>
                  <w:vAlign w:val="top"/>
                </w:tcPr>
                <w:p w14:paraId="5FAF2A50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年度</w:t>
                  </w:r>
                </w:p>
              </w:tc>
              <w:tc>
                <w:tcPr>
                  <w:tcW w:w="4880" w:type="dxa"/>
                  <w:vAlign w:val="top"/>
                </w:tcPr>
                <w:p w14:paraId="0A8B154B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项目</w:t>
                  </w:r>
                </w:p>
                <w:p w14:paraId="112C08B5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名称</w:t>
                  </w:r>
                </w:p>
              </w:tc>
              <w:tc>
                <w:tcPr>
                  <w:tcW w:w="1720" w:type="dxa"/>
                  <w:vAlign w:val="top"/>
                </w:tcPr>
                <w:p w14:paraId="67379560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采购</w:t>
                  </w:r>
                </w:p>
                <w:p w14:paraId="6CF885B0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方式</w:t>
                  </w:r>
                </w:p>
              </w:tc>
            </w:tr>
            <w:tr w14:paraId="6CB7CA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3" w:type="dxa"/>
                  <w:vAlign w:val="top"/>
                </w:tcPr>
                <w:p w14:paraId="09582C15"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2022</w:t>
                  </w:r>
                </w:p>
              </w:tc>
              <w:tc>
                <w:tcPr>
                  <w:tcW w:w="4880" w:type="dxa"/>
                  <w:vAlign w:val="top"/>
                </w:tcPr>
                <w:p w14:paraId="73D83C8B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巩固提升专项</w:t>
                  </w: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项目</w:t>
                  </w:r>
                </w:p>
              </w:tc>
              <w:tc>
                <w:tcPr>
                  <w:tcW w:w="1720" w:type="dxa"/>
                  <w:vAlign w:val="top"/>
                </w:tcPr>
                <w:p w14:paraId="3B105A0C">
                  <w:pPr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同业合作</w:t>
                  </w:r>
                </w:p>
              </w:tc>
            </w:tr>
            <w:tr w14:paraId="6407FB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3" w:type="dxa"/>
                  <w:vAlign w:val="top"/>
                </w:tcPr>
                <w:p w14:paraId="69796071"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4880" w:type="dxa"/>
                  <w:vAlign w:val="top"/>
                </w:tcPr>
                <w:p w14:paraId="227F455D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2023年联合开发系统需求实施项目</w:t>
                  </w:r>
                </w:p>
              </w:tc>
              <w:tc>
                <w:tcPr>
                  <w:tcW w:w="1720" w:type="dxa"/>
                  <w:vAlign w:val="top"/>
                </w:tcPr>
                <w:p w14:paraId="196C96E2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同业合作</w:t>
                  </w:r>
                </w:p>
              </w:tc>
            </w:tr>
            <w:tr w14:paraId="575381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3" w:type="dxa"/>
                  <w:vAlign w:val="top"/>
                </w:tcPr>
                <w:p w14:paraId="240B5DAA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4880" w:type="dxa"/>
                  <w:vAlign w:val="top"/>
                </w:tcPr>
                <w:p w14:paraId="039A059A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2023年常规需求（第三批次）及P2信创改造项目</w:t>
                  </w:r>
                </w:p>
              </w:tc>
              <w:tc>
                <w:tcPr>
                  <w:tcW w:w="1720" w:type="dxa"/>
                  <w:vAlign w:val="top"/>
                </w:tcPr>
                <w:p w14:paraId="40309831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同业合作</w:t>
                  </w:r>
                </w:p>
              </w:tc>
            </w:tr>
            <w:tr w14:paraId="512D64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3" w:type="dxa"/>
                  <w:vAlign w:val="top"/>
                </w:tcPr>
                <w:p w14:paraId="186B5AC2"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4880" w:type="dxa"/>
                  <w:vAlign w:val="top"/>
                </w:tcPr>
                <w:p w14:paraId="26897BEF"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联合开发系统2023年（第四批次）项目</w:t>
                  </w:r>
                </w:p>
              </w:tc>
              <w:tc>
                <w:tcPr>
                  <w:tcW w:w="1720" w:type="dxa"/>
                  <w:vAlign w:val="top"/>
                </w:tcPr>
                <w:p w14:paraId="3CE0B639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同业合作</w:t>
                  </w:r>
                </w:p>
              </w:tc>
            </w:tr>
            <w:tr w14:paraId="06FBB7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3" w:type="dxa"/>
                  <w:vAlign w:val="top"/>
                </w:tcPr>
                <w:p w14:paraId="04C5A72E"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4880" w:type="dxa"/>
                  <w:vAlign w:val="top"/>
                </w:tcPr>
                <w:p w14:paraId="22B4890E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2024年联合开发系统需求（8月紧急批次）项目</w:t>
                  </w:r>
                </w:p>
              </w:tc>
              <w:tc>
                <w:tcPr>
                  <w:tcW w:w="1720" w:type="dxa"/>
                  <w:vAlign w:val="top"/>
                </w:tcPr>
                <w:p w14:paraId="4620E2CD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同业合作</w:t>
                  </w:r>
                </w:p>
              </w:tc>
            </w:tr>
            <w:tr w14:paraId="77CBF8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3" w:type="dxa"/>
                  <w:vAlign w:val="top"/>
                </w:tcPr>
                <w:p w14:paraId="063D72A5"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4880" w:type="dxa"/>
                  <w:vAlign w:val="top"/>
                </w:tcPr>
                <w:p w14:paraId="7DB66735"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2024年联合开发系统需求（第一批次）实施项目</w:t>
                  </w:r>
                </w:p>
              </w:tc>
              <w:tc>
                <w:tcPr>
                  <w:tcW w:w="1720" w:type="dxa"/>
                  <w:vAlign w:val="top"/>
                </w:tcPr>
                <w:p w14:paraId="1E785B14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同业合作</w:t>
                  </w:r>
                </w:p>
              </w:tc>
            </w:tr>
            <w:tr w14:paraId="34E99F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3" w:type="dxa"/>
                  <w:vAlign w:val="top"/>
                </w:tcPr>
                <w:p w14:paraId="29D4EAC8"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4880" w:type="dxa"/>
                  <w:vAlign w:val="top"/>
                </w:tcPr>
                <w:p w14:paraId="1B1D6C53"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2024年联合开发系统不可预见需求实施项目</w:t>
                  </w:r>
                </w:p>
              </w:tc>
              <w:tc>
                <w:tcPr>
                  <w:tcW w:w="1720" w:type="dxa"/>
                  <w:vAlign w:val="top"/>
                </w:tcPr>
                <w:p w14:paraId="35ECE051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同业合作</w:t>
                  </w:r>
                </w:p>
              </w:tc>
            </w:tr>
          </w:tbl>
          <w:p w14:paraId="43D7347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B9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vMerge w:val="restart"/>
            <w:noWrap w:val="0"/>
            <w:vAlign w:val="center"/>
          </w:tcPr>
          <w:p w14:paraId="7D35A99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推荐供应商情况</w:t>
            </w:r>
          </w:p>
        </w:tc>
        <w:tc>
          <w:tcPr>
            <w:tcW w:w="4076" w:type="pct"/>
            <w:noWrap w:val="0"/>
            <w:vAlign w:val="top"/>
          </w:tcPr>
          <w:p w14:paraId="13D3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与同业合作案例：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与国家开发银行、恒丰银行、蒙商银行等均有相关合作案例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623B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vMerge w:val="continue"/>
            <w:noWrap w:val="0"/>
            <w:vAlign w:val="top"/>
          </w:tcPr>
          <w:p w14:paraId="5A4C305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 w14:paraId="33E0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供应商评价：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该供应商为我行最重要的业务系统实施厂商，为我行提供多个业务系统的实施，占我行业务系统数量的80%以上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技术能力、人员素质和整体服务水平良好。</w:t>
            </w:r>
          </w:p>
        </w:tc>
      </w:tr>
      <w:tr w14:paraId="407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3" w:type="pct"/>
            <w:noWrap w:val="0"/>
            <w:vAlign w:val="top"/>
          </w:tcPr>
          <w:p w14:paraId="2DE5678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本期项目开展的必要性说明</w:t>
            </w:r>
          </w:p>
        </w:tc>
        <w:tc>
          <w:tcPr>
            <w:tcW w:w="4076" w:type="pct"/>
            <w:noWrap w:val="0"/>
            <w:vAlign w:val="top"/>
          </w:tcPr>
          <w:p w14:paraId="0B3677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根据2025年5月国家金融监督管理总局下达《关于做好银行机构监管报表“一表通”工作的通知》（以下简称《通知》），为提升监管数字化智能化水平，提高“五大监管”能力，金融监管总局建立了银行机构监管报表“一表通”数据标准及配套管理体系（以下简称“一表通”），要求金融监督管理总局直接监管的银行机构在2026年底前实现“一表通”报送。</w:t>
            </w:r>
          </w:p>
          <w:p w14:paraId="1945FB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2025年8月，为落实《通知》要求，我部启动了“一表通”系统的建设工作，同步向行内业务部门收集联合开发系统配套改造需求。按我行整体计划安排，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配套改造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需求须与“一表通”系统在2026年10月底前一并上线完成行内系统整体建设，如无法按此时点完成上线，将导致“一表通”系统压缩试运行时间（计划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试运行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2个月），无法确保“一表通”系统功能稳定可靠，从而影响我行“一表通”数据报送时效。</w:t>
            </w:r>
          </w:p>
        </w:tc>
      </w:tr>
      <w:tr w14:paraId="0040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23" w:type="pct"/>
            <w:vMerge w:val="restart"/>
            <w:noWrap w:val="0"/>
            <w:vAlign w:val="top"/>
          </w:tcPr>
          <w:p w14:paraId="7B5824B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单一来源采购方式必要性和合理性证明</w:t>
            </w:r>
          </w:p>
        </w:tc>
        <w:tc>
          <w:tcPr>
            <w:tcW w:w="4076" w:type="pct"/>
            <w:noWrap w:val="0"/>
            <w:vAlign w:val="top"/>
          </w:tcPr>
          <w:p w14:paraId="1CB40F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技术方面：2019年以来，建信金科与我行在IT系统建设咨询、联合开发（一期）、巩固提升专项、2023年联合开发系统需求实施项目、2023年联合开发系统不可预见需求实施项目、2024年联合开发系统不可预见需求实施项目、联合开发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资本新规配套改造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项目等多个系统建设项目中开展深度合作。建信金科团队经过项目建设的长期实践，熟悉我行应用系统的系统架构、技术体制及工作流程，具备实施此类需求的能力。</w:t>
            </w:r>
          </w:p>
        </w:tc>
      </w:tr>
      <w:tr w14:paraId="4DCD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3" w:type="pct"/>
            <w:vMerge w:val="continue"/>
            <w:noWrap w:val="0"/>
            <w:vAlign w:val="top"/>
          </w:tcPr>
          <w:p w14:paraId="4530A21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 w14:paraId="60D00A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业务方面：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2025年5月国家金融监督管理总局下达《通知》，为提升监管数字化智能化水平，提高“五大监管”能力，要求金融监督管理总局直接监管的银行机构在2026年底前实现“一表通”报送。</w:t>
            </w:r>
          </w:p>
          <w:p w14:paraId="404920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为落实《通知》要求，按我行整体计划安排，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配套改造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需求须与“一表通”系统在2026年10月底前一并上线完成行内系统整体建设，如无法按此时点完成上线，将导致“一表通”系统压缩试运行时间（计划2个月），无法确保“一表通”系统功能稳定可靠，从而影响我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无法满足监管部门报送要求。</w:t>
            </w:r>
          </w:p>
        </w:tc>
      </w:tr>
      <w:tr w14:paraId="303B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vMerge w:val="continue"/>
            <w:noWrap w:val="0"/>
            <w:vAlign w:val="top"/>
          </w:tcPr>
          <w:p w14:paraId="098C8C5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 w14:paraId="7BEC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6" w:leftChars="-22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管理方面：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在往期项目实施中，我行与建信金科建立了良好的沟通机制。建信金科了解现有系统架构、功能与配置，熟悉源代码，项目执行中整体的沟通成本较低，与我行配合情况良好，能够高效推进项目执行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0442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3" w:type="pct"/>
            <w:vMerge w:val="continue"/>
            <w:noWrap w:val="0"/>
            <w:vAlign w:val="top"/>
          </w:tcPr>
          <w:p w14:paraId="3FDA8C0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 w14:paraId="1E6B4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竞争方面：本项目经初步识别，涉及多个联合开发系统。结合我行当前领域承接进度和前期潜在供应商调研情况，各供应商均表示针对单个领域，至少需3-6个月学习时间，短期内无能力承接。从项目需求实施方面考虑，仅有建信金科可以如期完成本项目。</w:t>
            </w:r>
          </w:p>
        </w:tc>
      </w:tr>
      <w:tr w14:paraId="21CC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3" w:type="pct"/>
            <w:vMerge w:val="continue"/>
            <w:noWrap w:val="0"/>
            <w:vAlign w:val="top"/>
          </w:tcPr>
          <w:p w14:paraId="3013146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 w14:paraId="19F8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风险方面：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将带来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大的项目实施风险，由于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均未能全面掌握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联合开发系统的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架构设计、模块划分、功能实现、代码逻辑、处理流程、参数配置、数据库配置以及系统间接口的设计与实现方式，不熟悉系统源代码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和相关联合开发系统功能情况，需要额外时间进行学习了解。本项目待实施需求均有明确的开发完成时间要求，其他厂商后无法保证在有限的时间内完成相关工作，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将面临成本、质量和工期等多方面的风险，项目质量将出现不可控的情况。</w:t>
            </w:r>
          </w:p>
        </w:tc>
      </w:tr>
    </w:tbl>
    <w:p w14:paraId="5F8D45A7">
      <w:pPr>
        <w:spacing w:line="20" w:lineRule="exact"/>
      </w:pPr>
    </w:p>
    <w:p w14:paraId="3B852CB7">
      <w:pPr>
        <w:bidi w:val="0"/>
        <w:spacing w:line="360" w:lineRule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</w:p>
    <w:p w14:paraId="3F21DBEF">
      <w:bookmarkStart w:id="1" w:name="_GoBack"/>
      <w:bookmarkEnd w:id="1"/>
    </w:p>
    <w:sectPr>
      <w:pgSz w:w="11906" w:h="16838"/>
      <w:pgMar w:top="1247" w:right="130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772CC"/>
    <w:rsid w:val="16F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overflowPunct w:val="0"/>
      <w:autoSpaceDE w:val="0"/>
      <w:autoSpaceDN w:val="0"/>
      <w:adjustRightInd w:val="0"/>
      <w:spacing w:line="300" w:lineRule="auto"/>
      <w:ind w:left="2268" w:firstLine="420"/>
      <w:jc w:val="left"/>
      <w:textAlignment w:val="baseline"/>
    </w:pPr>
    <w:rPr>
      <w:rFonts w:ascii="Arial Unicode MS" w:hAnsi="Arial Unicode MS"/>
      <w:kern w:val="0"/>
      <w:sz w:val="24"/>
      <w:szCs w:val="20"/>
    </w:rPr>
  </w:style>
  <w:style w:type="paragraph" w:styleId="3">
    <w:name w:val="caption"/>
    <w:basedOn w:val="1"/>
    <w:next w:val="1"/>
    <w:qFormat/>
    <w:uiPriority w:val="0"/>
    <w:pPr>
      <w:spacing w:beforeLines="20" w:afterLines="20"/>
    </w:pPr>
    <w:rPr>
      <w:rFonts w:ascii="Arial" w:hAnsi="Arial" w:eastAsia="黑体"/>
      <w:sz w:val="20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2026-03-13T08:32:51Z</dcterms:created>
  <dc:creator>dn</dc:creator>
  <cp:lastModifiedBy>dn</cp:lastModifiedBy>
  <dcterms:modified xsi:type="dcterms:W3CDTF">2026-03-13T08:33:16Z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eyJoZGlkIjoiZmQwNzEzOGYxNjI1Y2Q4OGRiN2E4NWZkZDk2MzcyMDMiLCJ1c2VySWQiOiI2OTYwMzk0MTgifQ==</vt:lpwstr>
  </property>
  <property fmtid="{D5CDD505-2E9C-101B-9397-08002B2CF9AE}" pid="4" name="ICV">
    <vt:lpwstr>5FB8708F28A94D44B2FB0B0576275A24_12</vt:lpwstr>
  </property>
</Properties>
</file>