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rPr>
          <w:rFonts w:ascii="黑体" w:hAnsi="黑体" w:eastAsia="黑体"/>
          <w:snapToGrid w:val="0"/>
          <w:spacing w:val="-10"/>
          <w:w w:val="90"/>
          <w:sz w:val="28"/>
        </w:rPr>
      </w:pPr>
      <w:r>
        <w:rPr>
          <w:rFonts w:ascii="黑体" w:hAnsi="黑体" w:eastAsia="黑体"/>
          <w:snapToGrid w:val="0"/>
          <w:spacing w:val="-10"/>
          <w:w w:val="90"/>
          <w:sz w:val="28"/>
        </w:rPr>
        <w:t>附件2：项目需求书</w:t>
      </w:r>
    </w:p>
    <w:p>
      <w:pPr>
        <w:pStyle w:val="8"/>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0" w:name="_Toc1826"/>
      <w:r>
        <w:rPr>
          <w:rFonts w:ascii="宋体" w:hAnsi="宋体" w:eastAsia="宋体"/>
          <w:b w:val="0"/>
          <w:bCs w:val="0"/>
          <w:sz w:val="24"/>
          <w:szCs w:val="24"/>
        </w:rPr>
        <w:t>一、项目介绍</w:t>
      </w:r>
      <w:bookmarkEnd w:id="0"/>
    </w:p>
    <w:p>
      <w:pPr>
        <w:pStyle w:val="8"/>
        <w:adjustRightInd w:val="0"/>
        <w:spacing w:before="0" w:beforeLines="0" w:after="0" w:afterLines="0" w:line="360" w:lineRule="auto"/>
        <w:ind w:firstLine="480" w:firstLineChars="200"/>
        <w:textAlignment w:val="baseline"/>
        <w:rPr>
          <w:rFonts w:hint="eastAsia" w:ascii="宋体" w:hAnsi="宋体" w:eastAsia="宋体" w:cs="楷体_GB2312"/>
          <w:b w:val="0"/>
          <w:bCs w:val="0"/>
          <w:sz w:val="24"/>
          <w:szCs w:val="24"/>
        </w:rPr>
      </w:pPr>
      <w:bookmarkStart w:id="1" w:name="_Toc20375"/>
      <w:bookmarkStart w:id="2" w:name="_Toc14418"/>
      <w:r>
        <w:rPr>
          <w:rFonts w:hint="eastAsia" w:ascii="宋体" w:hAnsi="宋体" w:eastAsia="宋体" w:cs="楷体_GB2312"/>
          <w:b w:val="0"/>
          <w:bCs w:val="0"/>
          <w:sz w:val="24"/>
          <w:szCs w:val="24"/>
        </w:rPr>
        <w:t>（一）项目背景概述</w:t>
      </w:r>
    </w:p>
    <w:p>
      <w:pPr>
        <w:adjustRightInd w:val="0"/>
        <w:spacing w:line="360" w:lineRule="auto"/>
        <w:ind w:firstLine="480" w:firstLineChars="200"/>
        <w:jc w:val="left"/>
        <w:textAlignment w:val="baseline"/>
        <w:rPr>
          <w:rFonts w:hint="eastAsia" w:ascii="宋体" w:hAnsi="宋体" w:cs="仿宋_GB2312"/>
          <w:sz w:val="24"/>
        </w:rPr>
      </w:pPr>
      <w:r>
        <w:rPr>
          <w:rFonts w:hint="eastAsia" w:ascii="宋体" w:hAnsi="宋体" w:cs="仿宋_GB2312"/>
          <w:sz w:val="24"/>
        </w:rPr>
        <w:t>申办自由贸易账户是采购人助力人民币国际化、推动高水平对外开放的重要举措，是采购人聚焦主责主业、履行政策性职能的现实需要。根据《中国进出口银行自由贸易账户申办工作方案》，采购人自由贸易账户申办工作于2023年6月正式启动，自由贸易账户相关系统作为采购人自由贸易申办工作的配套技术支持手段，其建设需求纳入采购人联合开发系统2023年常规需求（第四批次）实施范围，涉及50余个联合开发物理子系统，于2024年6月完成系统的需求分析、系统设计开发及测试相关工作。</w:t>
      </w:r>
    </w:p>
    <w:p>
      <w:pPr>
        <w:adjustRightInd w:val="0"/>
        <w:spacing w:line="360" w:lineRule="auto"/>
        <w:ind w:firstLine="480" w:firstLineChars="200"/>
        <w:jc w:val="left"/>
        <w:textAlignment w:val="baseline"/>
        <w:rPr>
          <w:rFonts w:hint="eastAsia" w:ascii="宋体" w:hAnsi="宋体" w:cs="仿宋_GB2312"/>
          <w:sz w:val="24"/>
        </w:rPr>
      </w:pPr>
      <w:r>
        <w:rPr>
          <w:rFonts w:hint="eastAsia" w:ascii="宋体" w:hAnsi="宋体" w:cs="仿宋_GB2312"/>
          <w:sz w:val="24"/>
        </w:rPr>
        <w:t>因自由贸易账户相关系统与分类分账改革相关系统存在关联性，而分类分账改革相关系统受改革方案批复时点影响，根据2024年8月经采购人金融科技专委会审议通过的《分类分账改革系统建设情况及后续风险应对建议》相关内容，原则同意自由贸易账户相关系统于分类分账改革相关系统投产上线后，开展后续工作。</w:t>
      </w:r>
    </w:p>
    <w:p>
      <w:pPr>
        <w:adjustRightInd w:val="0"/>
        <w:spacing w:line="360" w:lineRule="auto"/>
        <w:ind w:firstLine="480" w:firstLineChars="200"/>
        <w:jc w:val="left"/>
        <w:textAlignment w:val="baseline"/>
        <w:rPr>
          <w:rFonts w:hint="eastAsia" w:ascii="宋体" w:hAnsi="宋体" w:cs="仿宋_GB2312"/>
          <w:sz w:val="24"/>
        </w:rPr>
      </w:pPr>
      <w:r>
        <w:rPr>
          <w:rFonts w:hint="eastAsia" w:ascii="宋体" w:hAnsi="宋体" w:cs="仿宋_GB2312"/>
          <w:sz w:val="24"/>
        </w:rPr>
        <w:t>2025年初，分类分账改革方案批复后，采购人明确分类分账改革相关系统于2025年3月底上线的计划安排。根据《自由贸易账户系统实施计划》，自由贸易账户相关系统计划于准入申请完成后投产上线。因此，为确保自由贸易账户系统版本与采购人生产系统版本的一致性，需在投产上线前完成与月度版本合版及相关回归测试工作。现拟将上述工作作为自由贸易账户系统合版和回归测试项目采购实施服务。</w:t>
      </w:r>
    </w:p>
    <w:p>
      <w:pPr>
        <w:adjustRightInd w:val="0"/>
        <w:spacing w:line="360" w:lineRule="auto"/>
        <w:ind w:firstLine="480" w:firstLineChars="200"/>
        <w:jc w:val="left"/>
        <w:textAlignment w:val="baseline"/>
        <w:rPr>
          <w:rFonts w:hint="eastAsia" w:ascii="宋体" w:hAnsi="宋体" w:cs="仿宋_GB2312"/>
          <w:sz w:val="24"/>
        </w:rPr>
      </w:pPr>
      <w:r>
        <w:rPr>
          <w:rFonts w:hint="eastAsia" w:ascii="宋体" w:hAnsi="宋体" w:cs="仿宋_GB2312"/>
          <w:sz w:val="24"/>
        </w:rPr>
        <w:t>联合开发系统是指中国进出口银行与建信金融科技有限责任公司联合开发的中国进出口银行相关系统。</w:t>
      </w:r>
    </w:p>
    <w:p>
      <w:pPr>
        <w:pStyle w:val="8"/>
        <w:numPr>
          <w:ilvl w:val="0"/>
          <w:numId w:val="1"/>
        </w:numPr>
        <w:adjustRightInd w:val="0"/>
        <w:spacing w:before="0" w:beforeLines="0" w:after="0" w:afterLines="0" w:line="360" w:lineRule="auto"/>
        <w:ind w:firstLine="480" w:firstLineChars="200"/>
        <w:textAlignment w:val="baseline"/>
        <w:rPr>
          <w:rFonts w:hint="eastAsia" w:ascii="宋体" w:hAnsi="宋体" w:eastAsia="宋体" w:cs="楷体_GB2312"/>
          <w:b w:val="0"/>
          <w:bCs w:val="0"/>
          <w:sz w:val="24"/>
          <w:szCs w:val="24"/>
        </w:rPr>
      </w:pPr>
      <w:r>
        <w:rPr>
          <w:rFonts w:hint="eastAsia" w:ascii="宋体" w:hAnsi="宋体" w:eastAsia="宋体" w:cs="楷体_GB2312"/>
          <w:b w:val="0"/>
          <w:bCs w:val="0"/>
          <w:sz w:val="24"/>
          <w:szCs w:val="24"/>
        </w:rPr>
        <w:t>需求依据和来源</w:t>
      </w:r>
    </w:p>
    <w:p>
      <w:pPr>
        <w:adjustRightInd w:val="0"/>
        <w:spacing w:line="360" w:lineRule="auto"/>
        <w:ind w:firstLine="480" w:firstLineChars="200"/>
        <w:jc w:val="left"/>
        <w:textAlignment w:val="baseline"/>
        <w:rPr>
          <w:rFonts w:hint="eastAsia" w:ascii="宋体" w:hAnsi="宋体" w:cs="仿宋_GB2312"/>
          <w:sz w:val="24"/>
        </w:rPr>
      </w:pPr>
      <w:r>
        <w:rPr>
          <w:rFonts w:hint="eastAsia" w:ascii="宋体" w:hAnsi="宋体" w:cs="仿宋_GB2312"/>
          <w:sz w:val="24"/>
        </w:rPr>
        <w:t>为落实采购人第三十四次行党委会会议精神，根据采购人自由贸易账户申办总体工作安排，按计划做好自由贸易账户相关系统上线技术准备工作，需要开展合版和回归测试工作。</w:t>
      </w:r>
    </w:p>
    <w:p>
      <w:pPr>
        <w:pStyle w:val="8"/>
        <w:numPr>
          <w:ilvl w:val="0"/>
          <w:numId w:val="1"/>
        </w:numPr>
        <w:adjustRightInd w:val="0"/>
        <w:spacing w:before="0" w:beforeLines="0" w:after="0" w:afterLines="0" w:line="360" w:lineRule="auto"/>
        <w:ind w:firstLine="480" w:firstLineChars="200"/>
        <w:textAlignment w:val="baseline"/>
        <w:rPr>
          <w:rFonts w:hint="eastAsia" w:ascii="宋体" w:hAnsi="宋体" w:eastAsia="宋体" w:cs="楷体_GB2312"/>
          <w:b w:val="0"/>
          <w:bCs w:val="0"/>
          <w:sz w:val="24"/>
          <w:szCs w:val="24"/>
        </w:rPr>
      </w:pPr>
      <w:r>
        <w:rPr>
          <w:rFonts w:hint="eastAsia" w:ascii="宋体" w:hAnsi="宋体" w:eastAsia="宋体" w:cs="楷体_GB2312"/>
          <w:b w:val="0"/>
          <w:bCs w:val="0"/>
          <w:sz w:val="24"/>
          <w:szCs w:val="24"/>
        </w:rPr>
        <w:t>功能或目标</w:t>
      </w:r>
    </w:p>
    <w:bookmarkEnd w:id="1"/>
    <w:p>
      <w:pPr>
        <w:adjustRightInd w:val="0"/>
        <w:spacing w:line="360" w:lineRule="auto"/>
        <w:ind w:firstLine="480" w:firstLineChars="200"/>
        <w:jc w:val="left"/>
        <w:textAlignment w:val="baseline"/>
        <w:rPr>
          <w:rFonts w:hint="eastAsia" w:ascii="宋体" w:hAnsi="宋体"/>
          <w:sz w:val="24"/>
        </w:rPr>
      </w:pPr>
      <w:bookmarkStart w:id="3" w:name="_Toc16185"/>
      <w:bookmarkStart w:id="4" w:name="_Toc5784"/>
      <w:r>
        <w:rPr>
          <w:rFonts w:hint="eastAsia" w:ascii="宋体" w:hAnsi="宋体" w:cs="仿宋_GB2312"/>
          <w:sz w:val="24"/>
        </w:rPr>
        <w:t>按照《自由贸易账户系统实施计划》，完成月度版本合并和回归测试工作，确保系统按期上线和稳定运行。</w:t>
      </w:r>
    </w:p>
    <w:p>
      <w:pPr>
        <w:pStyle w:val="8"/>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r>
        <w:rPr>
          <w:rFonts w:ascii="宋体" w:hAnsi="宋体" w:eastAsia="宋体"/>
          <w:b w:val="0"/>
          <w:bCs w:val="0"/>
          <w:sz w:val="24"/>
          <w:szCs w:val="24"/>
        </w:rPr>
        <w:t>二、</w:t>
      </w:r>
      <w:bookmarkEnd w:id="2"/>
      <w:r>
        <w:rPr>
          <w:rFonts w:ascii="宋体" w:hAnsi="宋体" w:eastAsia="宋体"/>
          <w:b w:val="0"/>
          <w:bCs w:val="0"/>
          <w:sz w:val="24"/>
          <w:szCs w:val="24"/>
        </w:rPr>
        <w:t>服务一览表</w:t>
      </w:r>
      <w:bookmarkEnd w:id="3"/>
      <w:bookmarkEnd w:id="4"/>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77"/>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97" w:type="pct"/>
            <w:tcBorders>
              <w:top w:val="single" w:color="auto" w:sz="4" w:space="0"/>
              <w:left w:val="single" w:color="auto" w:sz="4" w:space="0"/>
              <w:right w:val="single" w:color="auto" w:sz="4" w:space="0"/>
            </w:tcBorders>
            <w:vAlign w:val="center"/>
          </w:tcPr>
          <w:p>
            <w:pPr>
              <w:jc w:val="center"/>
              <w:rPr>
                <w:rFonts w:hint="eastAsia" w:ascii="宋体" w:hAnsi="宋体" w:cs="黑体"/>
                <w:b/>
                <w:bCs/>
                <w:sz w:val="24"/>
              </w:rPr>
            </w:pPr>
            <w:r>
              <w:rPr>
                <w:rFonts w:hint="eastAsia" w:ascii="宋体" w:hAnsi="宋体" w:cs="黑体"/>
                <w:b/>
                <w:bCs/>
                <w:sz w:val="24"/>
              </w:rPr>
              <w:t>序号</w:t>
            </w:r>
          </w:p>
        </w:tc>
        <w:tc>
          <w:tcPr>
            <w:tcW w:w="621" w:type="pct"/>
            <w:tcBorders>
              <w:top w:val="single" w:color="auto" w:sz="4" w:space="0"/>
              <w:left w:val="single" w:color="auto" w:sz="4" w:space="0"/>
              <w:right w:val="single" w:color="auto" w:sz="4" w:space="0"/>
            </w:tcBorders>
            <w:vAlign w:val="center"/>
          </w:tcPr>
          <w:p>
            <w:pPr>
              <w:jc w:val="center"/>
              <w:rPr>
                <w:rFonts w:hint="eastAsia" w:ascii="宋体" w:hAnsi="宋体" w:cs="黑体"/>
                <w:b/>
                <w:bCs/>
                <w:sz w:val="24"/>
              </w:rPr>
            </w:pPr>
            <w:r>
              <w:rPr>
                <w:rFonts w:hint="eastAsia" w:ascii="宋体" w:hAnsi="宋体" w:cs="黑体"/>
                <w:b/>
                <w:bCs/>
                <w:sz w:val="24"/>
              </w:rPr>
              <w:t>服务内容</w:t>
            </w:r>
          </w:p>
        </w:tc>
        <w:tc>
          <w:tcPr>
            <w:tcW w:w="3982" w:type="pct"/>
            <w:tcBorders>
              <w:top w:val="single" w:color="auto" w:sz="4" w:space="0"/>
              <w:left w:val="single" w:color="auto" w:sz="4" w:space="0"/>
              <w:right w:val="single" w:color="auto" w:sz="4" w:space="0"/>
            </w:tcBorders>
            <w:vAlign w:val="center"/>
          </w:tcPr>
          <w:p>
            <w:pPr>
              <w:jc w:val="center"/>
              <w:rPr>
                <w:rFonts w:hint="eastAsia" w:ascii="宋体" w:hAnsi="宋体" w:cs="黑体"/>
                <w:b/>
                <w:bCs/>
                <w:sz w:val="24"/>
              </w:rPr>
            </w:pPr>
            <w:r>
              <w:rPr>
                <w:rFonts w:ascii="宋体" w:hAnsi="宋体" w:cs="黑体"/>
                <w:b/>
                <w:bCs/>
                <w:sz w:val="24"/>
              </w:rPr>
              <w:t>主要</w:t>
            </w:r>
            <w:r>
              <w:rPr>
                <w:rFonts w:hint="eastAsia" w:ascii="宋体" w:hAnsi="宋体" w:cs="黑体"/>
                <w:b/>
                <w:bCs/>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7" w:type="pct"/>
            <w:tcBorders>
              <w:top w:val="single" w:color="auto" w:sz="4" w:space="0"/>
              <w:left w:val="single" w:color="auto" w:sz="4" w:space="0"/>
              <w:right w:val="single" w:color="auto" w:sz="4" w:space="0"/>
            </w:tcBorders>
            <w:vAlign w:val="center"/>
          </w:tcPr>
          <w:p>
            <w:pPr>
              <w:numPr>
                <w:ilvl w:val="0"/>
                <w:numId w:val="2"/>
              </w:numPr>
              <w:tabs>
                <w:tab w:val="clear" w:pos="0"/>
              </w:tabs>
              <w:jc w:val="center"/>
              <w:rPr>
                <w:rFonts w:hint="eastAsia" w:ascii="宋体" w:hAnsi="宋体"/>
                <w:sz w:val="24"/>
              </w:rPr>
            </w:pPr>
          </w:p>
        </w:tc>
        <w:tc>
          <w:tcPr>
            <w:tcW w:w="621" w:type="pct"/>
            <w:tcBorders>
              <w:top w:val="single" w:color="auto" w:sz="4" w:space="0"/>
              <w:left w:val="single" w:color="auto" w:sz="4" w:space="0"/>
              <w:right w:val="single" w:color="auto" w:sz="4" w:space="0"/>
            </w:tcBorders>
            <w:vAlign w:val="center"/>
          </w:tcPr>
          <w:p>
            <w:pPr>
              <w:widowControl/>
              <w:jc w:val="center"/>
              <w:rPr>
                <w:rFonts w:hint="eastAsia" w:ascii="宋体" w:hAnsi="宋体" w:cs="仿宋_GB2312"/>
                <w:sz w:val="24"/>
              </w:rPr>
            </w:pPr>
            <w:r>
              <w:rPr>
                <w:rFonts w:hint="eastAsia" w:ascii="宋体" w:hAnsi="宋体" w:cs="仿宋_GB2312"/>
                <w:sz w:val="24"/>
              </w:rPr>
              <w:t>项目管理</w:t>
            </w:r>
          </w:p>
        </w:tc>
        <w:tc>
          <w:tcPr>
            <w:tcW w:w="3982" w:type="pct"/>
            <w:tcBorders>
              <w:top w:val="single" w:color="auto" w:sz="4" w:space="0"/>
              <w:left w:val="single" w:color="auto" w:sz="4" w:space="0"/>
              <w:right w:val="single" w:color="auto" w:sz="4" w:space="0"/>
            </w:tcBorders>
            <w:vAlign w:val="center"/>
          </w:tcPr>
          <w:p>
            <w:pPr>
              <w:pStyle w:val="4"/>
              <w:rPr>
                <w:rFonts w:hint="eastAsia" w:ascii="宋体" w:hAnsi="宋体" w:eastAsia="宋体" w:cs="仿宋_GB2312"/>
                <w:sz w:val="24"/>
                <w:szCs w:val="24"/>
              </w:rPr>
            </w:pPr>
            <w:r>
              <w:rPr>
                <w:rFonts w:hint="eastAsia" w:ascii="宋体" w:hAnsi="宋体" w:eastAsia="宋体"/>
                <w:sz w:val="24"/>
                <w:szCs w:val="24"/>
              </w:rPr>
              <w:t>配合采购人开展以下工作：</w:t>
            </w:r>
            <w:r>
              <w:rPr>
                <w:rFonts w:ascii="宋体" w:hAnsi="宋体" w:eastAsia="宋体"/>
                <w:sz w:val="24"/>
                <w:szCs w:val="24"/>
              </w:rPr>
              <w:t>制定项目计划，监督和控制项目进度</w:t>
            </w:r>
            <w:r>
              <w:rPr>
                <w:rFonts w:hint="eastAsia" w:ascii="宋体" w:hAnsi="宋体" w:eastAsia="宋体"/>
                <w:sz w:val="24"/>
                <w:szCs w:val="24"/>
              </w:rPr>
              <w:t>；</w:t>
            </w:r>
            <w:r>
              <w:rPr>
                <w:rFonts w:ascii="宋体" w:hAnsi="宋体" w:eastAsia="宋体"/>
                <w:sz w:val="24"/>
                <w:szCs w:val="24"/>
              </w:rPr>
              <w:t>负责管理安排项目资源</w:t>
            </w:r>
            <w:r>
              <w:rPr>
                <w:rFonts w:hint="eastAsia" w:ascii="宋体" w:hAnsi="宋体" w:eastAsia="宋体"/>
                <w:sz w:val="24"/>
                <w:szCs w:val="24"/>
              </w:rPr>
              <w:t>；开展</w:t>
            </w:r>
            <w:r>
              <w:rPr>
                <w:rFonts w:ascii="宋体" w:hAnsi="宋体" w:eastAsia="宋体"/>
                <w:sz w:val="24"/>
                <w:szCs w:val="24"/>
              </w:rPr>
              <w:t>交付管理以及项目质量管理</w:t>
            </w:r>
            <w:r>
              <w:rPr>
                <w:rFonts w:hint="eastAsia" w:ascii="宋体" w:hAnsi="宋体" w:eastAsia="宋体"/>
                <w:sz w:val="24"/>
                <w:szCs w:val="24"/>
              </w:rPr>
              <w:t>；开展</w:t>
            </w:r>
            <w:r>
              <w:rPr>
                <w:rFonts w:ascii="宋体" w:hAnsi="宋体" w:eastAsia="宋体"/>
                <w:sz w:val="24"/>
                <w:szCs w:val="24"/>
              </w:rPr>
              <w:t>项目问题管理和项目风险管理</w:t>
            </w:r>
            <w:r>
              <w:rPr>
                <w:rFonts w:hint="eastAsia" w:ascii="宋体" w:hAnsi="宋体" w:eastAsia="宋体"/>
                <w:sz w:val="24"/>
                <w:szCs w:val="24"/>
              </w:rPr>
              <w:t>；</w:t>
            </w:r>
            <w:r>
              <w:rPr>
                <w:rFonts w:ascii="宋体" w:hAnsi="宋体" w:eastAsia="宋体"/>
                <w:sz w:val="24"/>
                <w:szCs w:val="24"/>
              </w:rPr>
              <w:t>按照要求</w:t>
            </w:r>
            <w:r>
              <w:rPr>
                <w:rFonts w:hint="eastAsia" w:ascii="宋体" w:hAnsi="宋体" w:eastAsia="宋体"/>
                <w:sz w:val="24"/>
                <w:szCs w:val="24"/>
              </w:rPr>
              <w:t>定期</w:t>
            </w:r>
            <w:r>
              <w:rPr>
                <w:rFonts w:ascii="宋体" w:hAnsi="宋体" w:eastAsia="宋体"/>
                <w:sz w:val="24"/>
                <w:szCs w:val="24"/>
              </w:rPr>
              <w:t>进行工作报告</w:t>
            </w:r>
            <w:r>
              <w:rPr>
                <w:rFonts w:hint="eastAsia" w:ascii="宋体" w:hAnsi="宋体" w:eastAsia="宋体"/>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97" w:type="pct"/>
            <w:tcBorders>
              <w:left w:val="single" w:color="auto" w:sz="4" w:space="0"/>
              <w:bottom w:val="single" w:color="auto" w:sz="4" w:space="0"/>
              <w:right w:val="single" w:color="auto" w:sz="4" w:space="0"/>
            </w:tcBorders>
            <w:vAlign w:val="center"/>
          </w:tcPr>
          <w:p>
            <w:pPr>
              <w:numPr>
                <w:ilvl w:val="0"/>
                <w:numId w:val="2"/>
              </w:numPr>
              <w:tabs>
                <w:tab w:val="clear" w:pos="0"/>
              </w:tabs>
              <w:jc w:val="center"/>
              <w:rPr>
                <w:rFonts w:hint="eastAsia" w:ascii="宋体" w:hAnsi="宋体"/>
                <w:sz w:val="24"/>
              </w:rPr>
            </w:pPr>
          </w:p>
        </w:tc>
        <w:tc>
          <w:tcPr>
            <w:tcW w:w="621" w:type="pct"/>
            <w:tcBorders>
              <w:left w:val="single" w:color="auto" w:sz="4" w:space="0"/>
              <w:bottom w:val="single" w:color="auto" w:sz="4" w:space="0"/>
              <w:right w:val="single" w:color="auto" w:sz="4" w:space="0"/>
            </w:tcBorders>
            <w:vAlign w:val="center"/>
          </w:tcPr>
          <w:p>
            <w:pPr>
              <w:widowControl/>
              <w:jc w:val="center"/>
              <w:rPr>
                <w:rFonts w:hint="eastAsia" w:ascii="宋体" w:hAnsi="宋体" w:cs="仿宋_GB2312"/>
                <w:sz w:val="24"/>
              </w:rPr>
            </w:pPr>
            <w:r>
              <w:rPr>
                <w:rFonts w:hint="eastAsia" w:ascii="宋体" w:hAnsi="宋体" w:cs="仿宋_GB2312"/>
                <w:sz w:val="24"/>
              </w:rPr>
              <w:t>合版分析</w:t>
            </w:r>
          </w:p>
        </w:tc>
        <w:tc>
          <w:tcPr>
            <w:tcW w:w="3982" w:type="pct"/>
            <w:tcBorders>
              <w:left w:val="single" w:color="auto" w:sz="4" w:space="0"/>
              <w:bottom w:val="single" w:color="auto" w:sz="4" w:space="0"/>
              <w:right w:val="single" w:color="auto" w:sz="4" w:space="0"/>
            </w:tcBorders>
            <w:vAlign w:val="center"/>
          </w:tcPr>
          <w:p>
            <w:pPr>
              <w:widowControl/>
              <w:rPr>
                <w:rFonts w:hint="eastAsia" w:ascii="宋体" w:hAnsi="宋体" w:cs="仿宋_GB2312"/>
                <w:sz w:val="24"/>
              </w:rPr>
            </w:pPr>
            <w:r>
              <w:rPr>
                <w:rFonts w:ascii="宋体" w:hAnsi="宋体" w:cs="仿宋_GB2312"/>
                <w:sz w:val="24"/>
              </w:rPr>
              <w:t>根据各月度版本情况</w:t>
            </w:r>
            <w:r>
              <w:rPr>
                <w:rFonts w:hint="eastAsia" w:ascii="宋体" w:hAnsi="宋体" w:cs="仿宋_GB2312"/>
                <w:sz w:val="24"/>
              </w:rPr>
              <w:t>，梳理</w:t>
            </w:r>
            <w:r>
              <w:rPr>
                <w:rFonts w:ascii="宋体" w:hAnsi="宋体" w:cs="仿宋_GB2312"/>
                <w:sz w:val="24"/>
              </w:rPr>
              <w:t>分析合版内容和步骤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97" w:type="pct"/>
            <w:tcBorders>
              <w:top w:val="single" w:color="auto" w:sz="4" w:space="0"/>
              <w:left w:val="single" w:color="auto" w:sz="4" w:space="0"/>
              <w:right w:val="single" w:color="auto" w:sz="4" w:space="0"/>
            </w:tcBorders>
            <w:vAlign w:val="center"/>
          </w:tcPr>
          <w:p>
            <w:pPr>
              <w:numPr>
                <w:ilvl w:val="0"/>
                <w:numId w:val="2"/>
              </w:numPr>
              <w:tabs>
                <w:tab w:val="clear" w:pos="0"/>
              </w:tabs>
              <w:jc w:val="center"/>
              <w:rPr>
                <w:rFonts w:hint="eastAsia" w:ascii="宋体" w:hAnsi="宋体"/>
                <w:sz w:val="24"/>
              </w:rPr>
            </w:pPr>
          </w:p>
        </w:tc>
        <w:tc>
          <w:tcPr>
            <w:tcW w:w="621" w:type="pct"/>
            <w:tcBorders>
              <w:top w:val="single" w:color="auto" w:sz="4" w:space="0"/>
              <w:left w:val="single" w:color="auto" w:sz="4" w:space="0"/>
              <w:right w:val="single" w:color="auto" w:sz="4" w:space="0"/>
            </w:tcBorders>
            <w:vAlign w:val="center"/>
          </w:tcPr>
          <w:p>
            <w:pPr>
              <w:widowControl/>
              <w:jc w:val="center"/>
              <w:rPr>
                <w:rFonts w:hint="eastAsia" w:ascii="宋体" w:hAnsi="宋体" w:cs="仿宋_GB2312"/>
                <w:sz w:val="24"/>
              </w:rPr>
            </w:pPr>
            <w:r>
              <w:rPr>
                <w:rFonts w:ascii="宋体" w:hAnsi="宋体" w:cs="仿宋_GB2312"/>
                <w:sz w:val="24"/>
              </w:rPr>
              <w:t xml:space="preserve">版本合并 </w:t>
            </w:r>
          </w:p>
        </w:tc>
        <w:tc>
          <w:tcPr>
            <w:tcW w:w="3982" w:type="pct"/>
            <w:tcBorders>
              <w:top w:val="single" w:color="auto" w:sz="4" w:space="0"/>
              <w:left w:val="single" w:color="auto" w:sz="4" w:space="0"/>
              <w:right w:val="single" w:color="auto" w:sz="4" w:space="0"/>
            </w:tcBorders>
            <w:vAlign w:val="center"/>
          </w:tcPr>
          <w:p>
            <w:pPr>
              <w:widowControl/>
              <w:rPr>
                <w:rFonts w:hint="eastAsia" w:ascii="宋体" w:hAnsi="宋体" w:cs="仿宋_GB2312"/>
                <w:sz w:val="24"/>
              </w:rPr>
            </w:pPr>
            <w:r>
              <w:rPr>
                <w:rFonts w:ascii="宋体" w:hAnsi="宋体" w:cs="仿宋_GB2312"/>
                <w:sz w:val="24"/>
              </w:rPr>
              <w:t>完成</w:t>
            </w:r>
            <w:r>
              <w:rPr>
                <w:rFonts w:hint="eastAsia" w:ascii="宋体" w:hAnsi="宋体" w:cs="仿宋_GB2312"/>
                <w:sz w:val="24"/>
              </w:rPr>
              <w:t>相关</w:t>
            </w:r>
            <w:r>
              <w:rPr>
                <w:rFonts w:ascii="宋体" w:hAnsi="宋体" w:cs="仿宋_GB2312"/>
                <w:sz w:val="24"/>
              </w:rPr>
              <w:t>物理子系统的版本合并</w:t>
            </w:r>
            <w:r>
              <w:rPr>
                <w:rFonts w:hint="eastAsia" w:ascii="宋体" w:hAnsi="宋体" w:cs="仿宋_GB2312"/>
                <w:sz w:val="24"/>
              </w:rPr>
              <w:t>和系统内部测试等工作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97" w:type="pct"/>
            <w:tcBorders>
              <w:top w:val="single" w:color="auto" w:sz="4" w:space="0"/>
              <w:left w:val="single" w:color="auto" w:sz="4" w:space="0"/>
              <w:right w:val="single" w:color="auto" w:sz="4" w:space="0"/>
            </w:tcBorders>
            <w:vAlign w:val="center"/>
          </w:tcPr>
          <w:p>
            <w:pPr>
              <w:numPr>
                <w:ilvl w:val="0"/>
                <w:numId w:val="2"/>
              </w:numPr>
              <w:tabs>
                <w:tab w:val="clear" w:pos="0"/>
              </w:tabs>
              <w:jc w:val="center"/>
              <w:rPr>
                <w:rFonts w:hint="eastAsia" w:ascii="宋体" w:hAnsi="宋体"/>
                <w:sz w:val="24"/>
              </w:rPr>
            </w:pPr>
          </w:p>
        </w:tc>
        <w:tc>
          <w:tcPr>
            <w:tcW w:w="621" w:type="pct"/>
            <w:tcBorders>
              <w:top w:val="single" w:color="auto" w:sz="4" w:space="0"/>
              <w:left w:val="single" w:color="auto" w:sz="4" w:space="0"/>
              <w:right w:val="single" w:color="auto" w:sz="4" w:space="0"/>
            </w:tcBorders>
            <w:vAlign w:val="center"/>
          </w:tcPr>
          <w:p>
            <w:pPr>
              <w:widowControl/>
              <w:jc w:val="center"/>
              <w:rPr>
                <w:rFonts w:hint="eastAsia" w:ascii="宋体" w:hAnsi="宋体" w:cs="仿宋_GB2312"/>
                <w:sz w:val="24"/>
              </w:rPr>
            </w:pPr>
            <w:r>
              <w:rPr>
                <w:rFonts w:ascii="宋体" w:hAnsi="宋体" w:cs="仿宋_GB2312"/>
                <w:sz w:val="24"/>
              </w:rPr>
              <w:t>回归测试</w:t>
            </w:r>
          </w:p>
        </w:tc>
        <w:tc>
          <w:tcPr>
            <w:tcW w:w="3982" w:type="pct"/>
            <w:tcBorders>
              <w:top w:val="single" w:color="auto" w:sz="4" w:space="0"/>
              <w:left w:val="single" w:color="auto" w:sz="4" w:space="0"/>
              <w:right w:val="single" w:color="auto" w:sz="4" w:space="0"/>
            </w:tcBorders>
            <w:vAlign w:val="center"/>
          </w:tcPr>
          <w:p>
            <w:pPr>
              <w:widowControl/>
              <w:rPr>
                <w:rFonts w:hint="eastAsia" w:ascii="宋体" w:hAnsi="宋体" w:cs="仿宋_GB2312"/>
                <w:sz w:val="24"/>
              </w:rPr>
            </w:pPr>
            <w:r>
              <w:rPr>
                <w:rFonts w:hint="eastAsia" w:ascii="宋体" w:hAnsi="宋体" w:cs="仿宋_GB2312"/>
                <w:sz w:val="24"/>
              </w:rPr>
              <w:t>开展</w:t>
            </w:r>
            <w:r>
              <w:rPr>
                <w:rFonts w:ascii="宋体" w:hAnsi="宋体" w:cs="仿宋_GB2312"/>
                <w:sz w:val="24"/>
              </w:rPr>
              <w:t>回归</w:t>
            </w:r>
            <w:r>
              <w:rPr>
                <w:rFonts w:hint="eastAsia" w:ascii="宋体" w:hAnsi="宋体" w:cs="仿宋_GB2312"/>
                <w:sz w:val="24"/>
              </w:rPr>
              <w:t>测试工作，包括测试计划、准备和执行，完成测试案例、脚本及数据的编制和准备，</w:t>
            </w:r>
            <w:r>
              <w:rPr>
                <w:rFonts w:ascii="宋体" w:hAnsi="宋体" w:cs="仿宋_GB2312"/>
                <w:sz w:val="24"/>
              </w:rPr>
              <w:t>按计划开展测试工作</w:t>
            </w:r>
            <w:r>
              <w:rPr>
                <w:rFonts w:hint="eastAsia" w:ascii="宋体" w:hAnsi="宋体" w:cs="仿宋_GB2312"/>
                <w:sz w:val="24"/>
              </w:rPr>
              <w:t>，及时组织系统修补，形成测试报告</w:t>
            </w:r>
          </w:p>
        </w:tc>
      </w:tr>
    </w:tbl>
    <w:p>
      <w:pPr>
        <w:pStyle w:val="8"/>
        <w:numPr>
          <w:ilvl w:val="0"/>
          <w:numId w:val="3"/>
        </w:numPr>
        <w:adjustRightInd w:val="0"/>
        <w:spacing w:before="0" w:beforeLines="0" w:after="0" w:afterLines="0" w:line="360" w:lineRule="auto"/>
        <w:ind w:firstLine="480" w:firstLineChars="200"/>
        <w:textAlignment w:val="baseline"/>
        <w:outlineLvl w:val="0"/>
        <w:rPr>
          <w:rFonts w:hint="eastAsia" w:ascii="宋体" w:hAnsi="宋体" w:eastAsia="宋体"/>
          <w:b w:val="0"/>
          <w:bCs w:val="0"/>
          <w:sz w:val="24"/>
          <w:szCs w:val="24"/>
        </w:rPr>
      </w:pPr>
      <w:bookmarkStart w:id="5" w:name="_Toc2791"/>
      <w:bookmarkStart w:id="6" w:name="_Toc628"/>
      <w:r>
        <w:rPr>
          <w:rFonts w:hint="eastAsia" w:ascii="宋体" w:hAnsi="宋体" w:eastAsia="宋体"/>
          <w:b w:val="0"/>
          <w:bCs w:val="0"/>
          <w:sz w:val="24"/>
          <w:szCs w:val="24"/>
        </w:rPr>
        <w:t>业务要求</w:t>
      </w:r>
      <w:bookmarkEnd w:id="5"/>
    </w:p>
    <w:p>
      <w:pPr>
        <w:spacing w:line="360" w:lineRule="auto"/>
        <w:ind w:firstLine="480" w:firstLineChars="200"/>
        <w:rPr>
          <w:rFonts w:hint="eastAsia" w:ascii="宋体" w:hAnsi="宋体" w:cs="仿宋_GB2312"/>
          <w:sz w:val="24"/>
        </w:rPr>
      </w:pPr>
      <w:r>
        <w:rPr>
          <w:rFonts w:hint="eastAsia" w:ascii="宋体" w:hAnsi="宋体" w:cs="仿宋_GB2312"/>
          <w:sz w:val="24"/>
        </w:rPr>
        <w:t>按计划完成系统版本合并和回归测试等工作，合版后的系统功能要符合自由贸易账户相关需求描述，确保各业务需求说明书中提出的详细业务要求和调整内容全部实现，并能稳定运行。</w:t>
      </w:r>
    </w:p>
    <w:p>
      <w:pPr>
        <w:pStyle w:val="8"/>
        <w:numPr>
          <w:ilvl w:val="0"/>
          <w:numId w:val="3"/>
        </w:numPr>
        <w:adjustRightInd w:val="0"/>
        <w:spacing w:before="0" w:beforeLines="0" w:after="0" w:afterLines="0" w:line="360" w:lineRule="auto"/>
        <w:ind w:firstLine="480" w:firstLineChars="200"/>
        <w:textAlignment w:val="baseline"/>
        <w:outlineLvl w:val="0"/>
        <w:rPr>
          <w:rFonts w:hint="eastAsia" w:ascii="宋体" w:hAnsi="宋体" w:eastAsia="宋体"/>
          <w:b w:val="0"/>
          <w:bCs w:val="0"/>
          <w:sz w:val="24"/>
          <w:szCs w:val="24"/>
        </w:rPr>
      </w:pPr>
      <w:bookmarkStart w:id="7" w:name="_Toc24978"/>
      <w:r>
        <w:rPr>
          <w:rFonts w:hint="eastAsia" w:ascii="宋体" w:hAnsi="宋体" w:eastAsia="宋体"/>
          <w:b w:val="0"/>
          <w:bCs w:val="0"/>
          <w:sz w:val="24"/>
          <w:szCs w:val="24"/>
        </w:rPr>
        <w:t>技术要求</w:t>
      </w:r>
      <w:bookmarkEnd w:id="7"/>
    </w:p>
    <w:p>
      <w:pPr>
        <w:spacing w:line="360" w:lineRule="auto"/>
        <w:ind w:firstLine="480" w:firstLineChars="200"/>
        <w:rPr>
          <w:rFonts w:hint="eastAsia" w:ascii="宋体" w:hAnsi="宋体" w:cs="仿宋_GB2312"/>
          <w:sz w:val="24"/>
        </w:rPr>
      </w:pPr>
      <w:r>
        <w:rPr>
          <w:rFonts w:hint="eastAsia" w:ascii="宋体" w:hAnsi="宋体" w:cs="仿宋_GB2312"/>
          <w:sz w:val="24"/>
        </w:rPr>
        <w:t>在保持现有系统整体架构和稳定运行的基础上，对各月度版本内容进行梳理分析，相关物理子系统按照关联依赖关系，科学设计合版方案，确定实施计划安排，确保系统功能清晰，底层逻辑正确，业务流程顺畅，测试中发现的缺陷问题全部解决。</w:t>
      </w:r>
    </w:p>
    <w:p>
      <w:pPr>
        <w:pStyle w:val="8"/>
        <w:numPr>
          <w:ilvl w:val="0"/>
          <w:numId w:val="3"/>
        </w:numPr>
        <w:adjustRightInd w:val="0"/>
        <w:spacing w:before="0" w:beforeLines="0" w:after="0" w:afterLines="0" w:line="360" w:lineRule="auto"/>
        <w:ind w:firstLine="480" w:firstLineChars="200"/>
        <w:textAlignment w:val="baseline"/>
        <w:outlineLvl w:val="0"/>
        <w:rPr>
          <w:rFonts w:hint="eastAsia" w:ascii="宋体" w:hAnsi="宋体" w:eastAsia="宋体"/>
          <w:b w:val="0"/>
          <w:bCs w:val="0"/>
          <w:sz w:val="24"/>
          <w:szCs w:val="24"/>
        </w:rPr>
      </w:pPr>
      <w:bookmarkStart w:id="8" w:name="_Toc12222"/>
      <w:r>
        <w:rPr>
          <w:rFonts w:ascii="宋体" w:hAnsi="宋体" w:eastAsia="宋体"/>
          <w:b w:val="0"/>
          <w:bCs w:val="0"/>
          <w:sz w:val="24"/>
          <w:szCs w:val="24"/>
        </w:rPr>
        <w:t>服务要求</w:t>
      </w:r>
      <w:bookmarkEnd w:id="6"/>
      <w:bookmarkEnd w:id="8"/>
    </w:p>
    <w:p>
      <w:pPr>
        <w:pStyle w:val="3"/>
        <w:adjustRightInd w:val="0"/>
        <w:spacing w:line="360" w:lineRule="auto"/>
        <w:ind w:firstLine="480" w:firstLineChars="200"/>
        <w:rPr>
          <w:rFonts w:hint="eastAsia" w:ascii="宋体" w:hAnsi="宋体" w:cs="楷体_GB2312"/>
          <w:sz w:val="24"/>
        </w:rPr>
      </w:pPr>
      <w:r>
        <w:rPr>
          <w:rFonts w:hint="eastAsia" w:ascii="宋体" w:hAnsi="宋体" w:cs="楷体_GB2312"/>
          <w:sz w:val="24"/>
        </w:rPr>
        <w:t>（一）服务要求</w:t>
      </w:r>
    </w:p>
    <w:p>
      <w:pPr>
        <w:spacing w:line="360" w:lineRule="auto"/>
        <w:ind w:firstLine="480" w:firstLineChars="200"/>
        <w:rPr>
          <w:rFonts w:hint="eastAsia" w:ascii="宋体" w:hAnsi="宋体" w:cs="仿宋_GB2312"/>
          <w:sz w:val="24"/>
        </w:rPr>
      </w:pPr>
      <w:bookmarkStart w:id="9" w:name="_Toc36545096"/>
      <w:r>
        <w:rPr>
          <w:rFonts w:hint="eastAsia" w:ascii="宋体" w:hAnsi="宋体" w:cs="仿宋_GB2312"/>
          <w:sz w:val="24"/>
        </w:rPr>
        <w:t>1.总体要求</w:t>
      </w:r>
    </w:p>
    <w:p>
      <w:pPr>
        <w:spacing w:line="360" w:lineRule="auto"/>
        <w:ind w:firstLine="480" w:firstLineChars="200"/>
        <w:rPr>
          <w:rFonts w:hint="eastAsia" w:ascii="宋体" w:hAnsi="宋体" w:cs="仿宋_GB2312"/>
          <w:sz w:val="24"/>
        </w:rPr>
      </w:pPr>
      <w:r>
        <w:rPr>
          <w:rFonts w:hint="eastAsia" w:ascii="宋体" w:hAnsi="宋体" w:cs="仿宋_GB2312"/>
          <w:sz w:val="24"/>
        </w:rPr>
        <w:t>供应商应确保采购人享有对核心产品软件系统拥有永久的、不可撤销的、不可转让的修改权、复制权及其他使用权，以及对客户化软件及核心产品软件系统中客户化部分的全部知识产权。为实现上述目的，供应商应向采购人提供客户化软件及核心产品系统中客户化部分的目标程序及全部源代码，以及核心产品软件的目标程序及全部源代码。</w:t>
      </w:r>
    </w:p>
    <w:p>
      <w:pPr>
        <w:widowControl/>
        <w:spacing w:line="360" w:lineRule="auto"/>
        <w:ind w:firstLine="480" w:firstLineChars="200"/>
        <w:jc w:val="left"/>
        <w:rPr>
          <w:rFonts w:hint="eastAsia" w:ascii="宋体" w:hAnsi="宋体" w:cs="仿宋_GB2312"/>
          <w:sz w:val="24"/>
        </w:rPr>
      </w:pPr>
      <w:r>
        <w:rPr>
          <w:rFonts w:ascii="宋体" w:hAnsi="宋体"/>
          <w:sz w:val="24"/>
        </w:rPr>
        <w:t>为项目配备具有相关资质、技能和经验的技术服务人员，提供所需的信息技术服务。</w:t>
      </w:r>
      <w:r>
        <w:rPr>
          <w:rFonts w:hint="eastAsia" w:ascii="宋体" w:hAnsi="宋体" w:cs="仿宋_GB2312"/>
          <w:sz w:val="24"/>
        </w:rPr>
        <w:t>在人员供给方面，应高效及时提供满足采购人要求的高质量人力资源，并且公司应该具备此类人力资源的储备，保证满足采购人各项业务需求的开发质量及时间要求。在人员稳定性方面，应有效保障服务队伍的稳定性，以确保服务质量。在人员培训方面，应定期对服务人员进行内部培训，以使人员不断补充提高服务技能。</w:t>
      </w:r>
    </w:p>
    <w:bookmarkEnd w:id="9"/>
    <w:p>
      <w:pPr>
        <w:widowControl/>
        <w:spacing w:line="360" w:lineRule="auto"/>
        <w:ind w:firstLine="480" w:firstLineChars="200"/>
        <w:jc w:val="left"/>
        <w:rPr>
          <w:rFonts w:ascii="宋体" w:hAnsi="宋体"/>
          <w:sz w:val="24"/>
        </w:rPr>
      </w:pPr>
      <w:r>
        <w:rPr>
          <w:rFonts w:ascii="宋体" w:hAnsi="宋体"/>
          <w:sz w:val="24"/>
        </w:rPr>
        <w:t>供应商通过电话、电子邮件、传真等</w:t>
      </w:r>
      <w:r>
        <w:rPr>
          <w:rFonts w:hint="eastAsia" w:ascii="宋体" w:hAnsi="宋体"/>
          <w:sz w:val="24"/>
        </w:rPr>
        <w:t>可能必要</w:t>
      </w:r>
      <w:r>
        <w:rPr>
          <w:rFonts w:ascii="宋体" w:hAnsi="宋体"/>
          <w:sz w:val="24"/>
        </w:rPr>
        <w:t>方式向</w:t>
      </w:r>
      <w:r>
        <w:rPr>
          <w:rFonts w:hint="eastAsia" w:ascii="宋体" w:hAnsi="宋体"/>
          <w:sz w:val="24"/>
        </w:rPr>
        <w:t>采购人</w:t>
      </w:r>
      <w:r>
        <w:rPr>
          <w:rFonts w:ascii="宋体" w:hAnsi="宋体"/>
          <w:sz w:val="24"/>
        </w:rPr>
        <w:t>提供远程技术支持，</w:t>
      </w:r>
      <w:r>
        <w:rPr>
          <w:rFonts w:hint="eastAsia" w:ascii="宋体" w:hAnsi="宋体"/>
          <w:sz w:val="24"/>
        </w:rPr>
        <w:t>及时</w:t>
      </w:r>
      <w:r>
        <w:rPr>
          <w:rFonts w:ascii="宋体" w:hAnsi="宋体"/>
          <w:sz w:val="24"/>
        </w:rPr>
        <w:t>响应</w:t>
      </w:r>
      <w:r>
        <w:rPr>
          <w:rFonts w:hint="eastAsia" w:ascii="宋体" w:hAnsi="宋体"/>
          <w:sz w:val="24"/>
        </w:rPr>
        <w:t>采购人</w:t>
      </w:r>
      <w:r>
        <w:rPr>
          <w:rFonts w:ascii="宋体" w:hAnsi="宋体"/>
          <w:sz w:val="24"/>
        </w:rPr>
        <w:t>服务请求</w:t>
      </w:r>
      <w:r>
        <w:rPr>
          <w:rFonts w:hint="eastAsia" w:ascii="宋体" w:hAnsi="宋体"/>
          <w:sz w:val="24"/>
        </w:rPr>
        <w:t>，</w:t>
      </w:r>
      <w:r>
        <w:rPr>
          <w:rFonts w:ascii="宋体" w:hAnsi="宋体"/>
          <w:sz w:val="24"/>
        </w:rPr>
        <w:t>必要时协商提供人员现场服务支持</w:t>
      </w:r>
      <w:r>
        <w:rPr>
          <w:rFonts w:hint="eastAsia" w:ascii="宋体" w:hAnsi="宋体"/>
          <w:sz w:val="24"/>
        </w:rPr>
        <w:t>。</w:t>
      </w:r>
    </w:p>
    <w:p>
      <w:pPr>
        <w:widowControl/>
        <w:spacing w:line="360" w:lineRule="auto"/>
        <w:ind w:firstLine="480" w:firstLineChars="200"/>
        <w:jc w:val="left"/>
        <w:rPr>
          <w:rFonts w:hint="eastAsia" w:ascii="宋体" w:hAnsi="宋体"/>
          <w:sz w:val="24"/>
        </w:rPr>
      </w:pPr>
      <w:r>
        <w:rPr>
          <w:rFonts w:hint="eastAsia" w:ascii="宋体" w:hAnsi="宋体"/>
          <w:sz w:val="24"/>
        </w:rPr>
        <w:t>2.服务指标</w:t>
      </w:r>
    </w:p>
    <w:p>
      <w:pPr>
        <w:pStyle w:val="3"/>
        <w:adjustRightInd w:val="0"/>
        <w:spacing w:line="360" w:lineRule="auto"/>
        <w:ind w:firstLine="480" w:firstLineChars="200"/>
        <w:rPr>
          <w:rFonts w:hint="eastAsia" w:ascii="宋体" w:hAnsi="宋体"/>
          <w:sz w:val="24"/>
        </w:rPr>
      </w:pPr>
      <w:r>
        <w:rPr>
          <w:rFonts w:ascii="宋体" w:hAnsi="宋体"/>
          <w:sz w:val="24"/>
        </w:rPr>
        <w:t>服务要求根据重要性分为</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和一般性指标。★代表实质性要求，不满足该指标项将导致投标被拒绝，＃代表重要性参数，无标识则表示一般指标项。</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063"/>
        <w:gridCol w:w="993"/>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3" w:type="pct"/>
            <w:vAlign w:val="center"/>
          </w:tcPr>
          <w:p>
            <w:pPr>
              <w:jc w:val="center"/>
              <w:rPr>
                <w:rFonts w:hint="eastAsia" w:ascii="宋体" w:hAnsi="宋体"/>
                <w:b/>
                <w:bCs/>
                <w:sz w:val="24"/>
              </w:rPr>
            </w:pPr>
            <w:r>
              <w:rPr>
                <w:rFonts w:ascii="宋体" w:hAnsi="宋体"/>
                <w:b/>
                <w:bCs/>
                <w:sz w:val="24"/>
              </w:rPr>
              <w:t>序号</w:t>
            </w:r>
          </w:p>
        </w:tc>
        <w:tc>
          <w:tcPr>
            <w:tcW w:w="517" w:type="pct"/>
            <w:vAlign w:val="center"/>
          </w:tcPr>
          <w:p>
            <w:pPr>
              <w:jc w:val="center"/>
              <w:rPr>
                <w:rFonts w:hint="eastAsia" w:ascii="宋体" w:hAnsi="宋体"/>
                <w:b/>
                <w:bCs/>
                <w:sz w:val="24"/>
              </w:rPr>
            </w:pPr>
            <w:r>
              <w:rPr>
                <w:rFonts w:ascii="宋体" w:hAnsi="宋体"/>
                <w:b/>
                <w:bCs/>
                <w:sz w:val="24"/>
              </w:rPr>
              <w:t>服务要求项目</w:t>
            </w:r>
          </w:p>
        </w:tc>
        <w:tc>
          <w:tcPr>
            <w:tcW w:w="483" w:type="pct"/>
            <w:vAlign w:val="center"/>
          </w:tcPr>
          <w:p>
            <w:pPr>
              <w:jc w:val="center"/>
              <w:rPr>
                <w:rFonts w:hint="eastAsia" w:ascii="宋体" w:hAnsi="宋体"/>
                <w:b/>
                <w:bCs/>
                <w:sz w:val="24"/>
              </w:rPr>
            </w:pPr>
            <w:r>
              <w:rPr>
                <w:rFonts w:ascii="宋体" w:hAnsi="宋体"/>
                <w:b/>
                <w:bCs/>
                <w:sz w:val="24"/>
              </w:rPr>
              <w:t>重要性</w:t>
            </w:r>
          </w:p>
        </w:tc>
        <w:tc>
          <w:tcPr>
            <w:tcW w:w="3637" w:type="pct"/>
            <w:vAlign w:val="center"/>
          </w:tcPr>
          <w:p>
            <w:pPr>
              <w:jc w:val="center"/>
              <w:rPr>
                <w:rFonts w:hint="eastAsia" w:ascii="宋体" w:hAnsi="宋体"/>
                <w:b/>
                <w:bCs/>
                <w:sz w:val="24"/>
              </w:rPr>
            </w:pPr>
            <w:r>
              <w:rPr>
                <w:rFonts w:ascii="宋体" w:hAnsi="宋体"/>
                <w:b/>
                <w:bCs/>
                <w:sz w:val="24"/>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63" w:type="pct"/>
            <w:vAlign w:val="center"/>
          </w:tcPr>
          <w:p>
            <w:pPr>
              <w:jc w:val="center"/>
              <w:rPr>
                <w:rFonts w:hint="eastAsia" w:ascii="宋体" w:hAnsi="宋体" w:cs="仿宋_GB2312"/>
                <w:sz w:val="24"/>
              </w:rPr>
            </w:pPr>
            <w:r>
              <w:rPr>
                <w:rFonts w:hint="eastAsia" w:ascii="宋体" w:hAnsi="宋体" w:cs="仿宋_GB2312"/>
                <w:sz w:val="24"/>
              </w:rPr>
              <w:t>1</w:t>
            </w:r>
          </w:p>
        </w:tc>
        <w:tc>
          <w:tcPr>
            <w:tcW w:w="517" w:type="pct"/>
            <w:vAlign w:val="center"/>
          </w:tcPr>
          <w:p>
            <w:pPr>
              <w:jc w:val="center"/>
              <w:rPr>
                <w:rFonts w:hint="eastAsia" w:ascii="宋体" w:hAnsi="宋体" w:cs="仿宋_GB2312"/>
                <w:sz w:val="24"/>
              </w:rPr>
            </w:pPr>
            <w:r>
              <w:rPr>
                <w:rFonts w:hint="eastAsia" w:ascii="宋体" w:hAnsi="宋体" w:cs="仿宋_GB2312"/>
                <w:sz w:val="24"/>
              </w:rPr>
              <w:t>产品要求</w:t>
            </w:r>
          </w:p>
        </w:tc>
        <w:tc>
          <w:tcPr>
            <w:tcW w:w="483" w:type="pct"/>
            <w:vAlign w:val="center"/>
          </w:tcPr>
          <w:p>
            <w:pPr>
              <w:jc w:val="center"/>
              <w:rPr>
                <w:rFonts w:hint="eastAsia" w:ascii="宋体" w:hAnsi="宋体" w:cs="仿宋_GB2312"/>
                <w:sz w:val="24"/>
              </w:rPr>
            </w:pPr>
            <w:r>
              <w:rPr>
                <w:rFonts w:hint="eastAsia" w:ascii="宋体" w:hAnsi="宋体" w:cs="仿宋_GB2312"/>
                <w:sz w:val="24"/>
              </w:rPr>
              <w:t>★</w:t>
            </w:r>
          </w:p>
        </w:tc>
        <w:tc>
          <w:tcPr>
            <w:tcW w:w="3637" w:type="pct"/>
            <w:vAlign w:val="center"/>
          </w:tcPr>
          <w:p>
            <w:pPr>
              <w:ind w:firstLine="480" w:firstLineChars="200"/>
              <w:rPr>
                <w:rFonts w:hint="eastAsia" w:ascii="宋体" w:hAnsi="宋体" w:cs="仿宋_GB2312"/>
                <w:sz w:val="24"/>
              </w:rPr>
            </w:pPr>
            <w:r>
              <w:rPr>
                <w:rFonts w:hint="eastAsia" w:ascii="宋体" w:hAnsi="宋体" w:cs="仿宋_GB2312"/>
                <w:sz w:val="24"/>
              </w:rPr>
              <w:t>要求供应商必须对本项目涉及的产品拥有完全的知识产权；使用非自身产品的，必须有原厂商对该产品的授权经销商或者有原厂商对本项目的书面授权。向采购人提供客户化软件及核心产品系统中客户化部分的目标程序及全部源代码，以及核心产品软件的目标程序及全部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pPr>
              <w:jc w:val="center"/>
              <w:rPr>
                <w:rFonts w:hint="eastAsia" w:ascii="宋体" w:hAnsi="宋体" w:cs="仿宋_GB2312"/>
                <w:sz w:val="24"/>
              </w:rPr>
            </w:pPr>
            <w:r>
              <w:rPr>
                <w:rFonts w:hint="eastAsia" w:ascii="宋体" w:hAnsi="宋体" w:cs="仿宋_GB2312"/>
                <w:sz w:val="24"/>
              </w:rPr>
              <w:t>2</w:t>
            </w:r>
          </w:p>
        </w:tc>
        <w:tc>
          <w:tcPr>
            <w:tcW w:w="517" w:type="pct"/>
            <w:vAlign w:val="center"/>
          </w:tcPr>
          <w:p>
            <w:pPr>
              <w:jc w:val="center"/>
              <w:rPr>
                <w:rFonts w:hint="eastAsia" w:ascii="宋体" w:hAnsi="宋体" w:cs="仿宋_GB2312"/>
                <w:sz w:val="24"/>
              </w:rPr>
            </w:pPr>
            <w:r>
              <w:rPr>
                <w:rFonts w:hint="eastAsia" w:ascii="宋体" w:hAnsi="宋体" w:cs="仿宋_GB2312"/>
                <w:sz w:val="24"/>
              </w:rPr>
              <w:t>故障处理</w:t>
            </w:r>
          </w:p>
        </w:tc>
        <w:tc>
          <w:tcPr>
            <w:tcW w:w="483" w:type="pct"/>
            <w:vAlign w:val="center"/>
          </w:tcPr>
          <w:p>
            <w:pPr>
              <w:jc w:val="center"/>
              <w:rPr>
                <w:rFonts w:hint="eastAsia" w:ascii="宋体" w:hAnsi="宋体" w:cs="仿宋_GB2312"/>
                <w:sz w:val="24"/>
              </w:rPr>
            </w:pPr>
            <w:r>
              <w:rPr>
                <w:rFonts w:hint="eastAsia" w:ascii="宋体" w:hAnsi="宋体" w:cs="仿宋_GB2312"/>
                <w:sz w:val="24"/>
              </w:rPr>
              <w:t>＃</w:t>
            </w:r>
          </w:p>
        </w:tc>
        <w:tc>
          <w:tcPr>
            <w:tcW w:w="3637" w:type="pct"/>
            <w:vAlign w:val="center"/>
          </w:tcPr>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供应商通过标准化的操作流程进行软件的故障诊断和排除；配合其他条线进行故障处理。</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响应时限：（&lt;15）分钟</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到达现场时限：（&lt;2）小时</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解决问题时限：（&lt;4）小时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63" w:type="pct"/>
            <w:vAlign w:val="center"/>
          </w:tcPr>
          <w:p>
            <w:pPr>
              <w:jc w:val="center"/>
              <w:rPr>
                <w:rFonts w:hint="eastAsia" w:ascii="宋体" w:hAnsi="宋体" w:cs="仿宋_GB2312"/>
                <w:sz w:val="24"/>
              </w:rPr>
            </w:pPr>
            <w:r>
              <w:rPr>
                <w:rFonts w:hint="eastAsia" w:ascii="宋体" w:hAnsi="宋体" w:cs="仿宋_GB2312"/>
                <w:sz w:val="24"/>
              </w:rPr>
              <w:t>3</w:t>
            </w:r>
          </w:p>
        </w:tc>
        <w:tc>
          <w:tcPr>
            <w:tcW w:w="517" w:type="pct"/>
            <w:vAlign w:val="center"/>
          </w:tcPr>
          <w:p>
            <w:pPr>
              <w:jc w:val="center"/>
              <w:rPr>
                <w:rFonts w:hint="eastAsia" w:ascii="宋体" w:hAnsi="宋体" w:cs="仿宋_GB2312"/>
                <w:sz w:val="24"/>
              </w:rPr>
            </w:pPr>
            <w:r>
              <w:rPr>
                <w:rFonts w:hint="eastAsia" w:ascii="宋体" w:hAnsi="宋体" w:cs="仿宋_GB2312"/>
                <w:sz w:val="24"/>
              </w:rPr>
              <w:t>总体要求</w:t>
            </w:r>
          </w:p>
        </w:tc>
        <w:tc>
          <w:tcPr>
            <w:tcW w:w="483" w:type="pct"/>
            <w:vAlign w:val="center"/>
          </w:tcPr>
          <w:p>
            <w:pPr>
              <w:jc w:val="center"/>
              <w:rPr>
                <w:rFonts w:hint="eastAsia" w:ascii="宋体" w:hAnsi="宋体" w:cs="仿宋_GB2312"/>
                <w:sz w:val="24"/>
              </w:rPr>
            </w:pPr>
          </w:p>
        </w:tc>
        <w:tc>
          <w:tcPr>
            <w:tcW w:w="3637" w:type="pct"/>
            <w:vAlign w:val="center"/>
          </w:tcPr>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要求完成项目实施、测试等工作，并阐述系统的项目整体技术方案、实施方案、测试方案。对于其中进出口银行有模板要求的交付件，应使用要求的模版进行编写。</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阐述项目实施的组织架构（其中应包含进出口银行人员），并描述实施预期的时间进度表，提供具有明确里程碑的项目实施计划。</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要求提供初步的测试计划以及相应标准，并提供系统内部集成测试和回归测试的测试方案、测试案例和测试工具。</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厂商在本项目实施过程中，须服从进出口银行项目管理机构的管理。</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要求厂商提供本项目中所有交付物清单，包括但不限于项目文档、产品技术文档等。</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项目所涉及系统合版工作应遵循采购人企业级架构原则进行，并综合考虑采购人国产化替代工作情况。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63" w:type="pct"/>
            <w:vAlign w:val="center"/>
          </w:tcPr>
          <w:p>
            <w:pPr>
              <w:jc w:val="center"/>
              <w:rPr>
                <w:rFonts w:hint="eastAsia" w:ascii="宋体" w:hAnsi="宋体" w:cs="仿宋_GB2312"/>
                <w:sz w:val="24"/>
              </w:rPr>
            </w:pPr>
            <w:r>
              <w:rPr>
                <w:rFonts w:hint="eastAsia" w:ascii="宋体" w:hAnsi="宋体" w:cs="仿宋_GB2312"/>
                <w:sz w:val="24"/>
              </w:rPr>
              <w:t>4</w:t>
            </w:r>
          </w:p>
        </w:tc>
        <w:tc>
          <w:tcPr>
            <w:tcW w:w="517" w:type="pct"/>
            <w:vAlign w:val="center"/>
          </w:tcPr>
          <w:p>
            <w:pPr>
              <w:jc w:val="center"/>
              <w:rPr>
                <w:rFonts w:hint="eastAsia" w:ascii="宋体" w:hAnsi="宋体" w:cs="仿宋_GB2312"/>
                <w:sz w:val="24"/>
              </w:rPr>
            </w:pPr>
            <w:r>
              <w:rPr>
                <w:rFonts w:hint="eastAsia" w:ascii="宋体" w:hAnsi="宋体" w:cs="仿宋_GB2312"/>
                <w:sz w:val="24"/>
              </w:rPr>
              <w:t>项目实施要求</w:t>
            </w:r>
          </w:p>
        </w:tc>
        <w:tc>
          <w:tcPr>
            <w:tcW w:w="483" w:type="pct"/>
            <w:vAlign w:val="center"/>
          </w:tcPr>
          <w:p>
            <w:pPr>
              <w:jc w:val="center"/>
              <w:rPr>
                <w:rFonts w:hint="eastAsia" w:ascii="宋体" w:hAnsi="宋体" w:cs="仿宋_GB2312"/>
                <w:sz w:val="24"/>
              </w:rPr>
            </w:pPr>
          </w:p>
        </w:tc>
        <w:tc>
          <w:tcPr>
            <w:tcW w:w="3637" w:type="pct"/>
            <w:vAlign w:val="center"/>
          </w:tcPr>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以下列出了本项目实施过程中重要的实施任务，供应商应承诺完成所有实施任务，并遵守其中相关约定。相关要求参照项目工作说明书。</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（一）项目管理。</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负责制定项目计划，并按照进出口银行的要求进行必要的调整。监督和控制项目进度。</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负责管理安排项目资源。</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负责配合管理项目的各项任务执行、人力资源、相互工作配合与交付承诺。</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负责配合管理项目范围和变更，并协调变更要求的签署。</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负责交付管理以及项目质量管理。</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负责项目问题管理和项目风险管理。</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负责与进出口银行进行沟通并按照要求进行工作报告。</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（二）系统合版</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负责合版内容梳理分析。</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负责涉及物理子系统的合版工作。</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（三）系统内部集成测试。</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负责提出系统内部集成测试（验证）计划和方案。</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负责完成系统内部集成测试（验证）案例、测试脚本以及相关的测试数据。</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负责完成相应的系统内部集成测试（验证）报告。</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（四）回归测试。</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协助提出回归测试计划和方案。</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协助准备回归测试案例、测试脚本和数据。</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协助执行回归测试。</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负责系统修补。</w:t>
            </w:r>
          </w:p>
          <w:p>
            <w:pPr>
              <w:pStyle w:val="4"/>
              <w:ind w:firstLine="480" w:firstLineChars="200"/>
              <w:rPr>
                <w:rFonts w:hint="eastAsia" w:ascii="宋体" w:hAnsi="宋体" w:eastAsia="宋体" w:cs="仿宋_GB2312"/>
                <w:sz w:val="24"/>
                <w:szCs w:val="24"/>
              </w:rPr>
            </w:pPr>
            <w:r>
              <w:rPr>
                <w:rFonts w:hint="eastAsia" w:ascii="宋体" w:hAnsi="宋体" w:eastAsia="宋体" w:cs="仿宋_GB2312"/>
                <w:sz w:val="24"/>
                <w:szCs w:val="24"/>
              </w:rPr>
              <w:t>协助完成回归测试报告。</w:t>
            </w:r>
          </w:p>
        </w:tc>
      </w:tr>
    </w:tbl>
    <w:p>
      <w:pPr>
        <w:spacing w:line="360" w:lineRule="auto"/>
        <w:ind w:firstLine="480" w:firstLineChars="200"/>
        <w:rPr>
          <w:rFonts w:hint="eastAsia" w:ascii="宋体" w:hAnsi="宋体" w:cs="楷体_GB2312"/>
          <w:bCs/>
          <w:sz w:val="24"/>
        </w:rPr>
      </w:pPr>
      <w:r>
        <w:rPr>
          <w:rFonts w:hint="eastAsia" w:ascii="宋体" w:hAnsi="宋体" w:cs="楷体_GB2312"/>
          <w:sz w:val="24"/>
        </w:rPr>
        <w:t>（二）主要交付物</w:t>
      </w:r>
    </w:p>
    <w:p>
      <w:pPr>
        <w:pStyle w:val="13"/>
        <w:spacing w:afterLines="0"/>
        <w:ind w:firstLine="480" w:firstLineChars="200"/>
        <w:rPr>
          <w:rFonts w:hint="eastAsia" w:ascii="宋体" w:hAnsi="宋体"/>
        </w:rPr>
      </w:pPr>
      <w:r>
        <w:rPr>
          <w:rFonts w:hint="eastAsia" w:ascii="宋体" w:hAnsi="宋体"/>
        </w:rPr>
        <w:t>在项目工作书中明确交付物类型、内容及交付形式，包含但不限于以下内容。</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2" w:type="pct"/>
            <w:shd w:val="clear" w:color="auto" w:fill="BEBEBE"/>
            <w:vAlign w:val="center"/>
          </w:tcPr>
          <w:p>
            <w:pPr>
              <w:jc w:val="center"/>
              <w:rPr>
                <w:rFonts w:hint="eastAsia" w:ascii="宋体" w:hAnsi="宋体" w:cs="仿宋_GB2312"/>
                <w:b/>
                <w:sz w:val="24"/>
              </w:rPr>
            </w:pPr>
            <w:r>
              <w:rPr>
                <w:rFonts w:hint="eastAsia" w:ascii="宋体" w:hAnsi="宋体" w:cs="仿宋_GB2312"/>
                <w:b/>
                <w:sz w:val="24"/>
              </w:rPr>
              <w:t>过程域</w:t>
            </w:r>
          </w:p>
        </w:tc>
        <w:tc>
          <w:tcPr>
            <w:tcW w:w="4178" w:type="pct"/>
            <w:shd w:val="clear" w:color="auto" w:fill="BEBEBE"/>
            <w:vAlign w:val="center"/>
          </w:tcPr>
          <w:p>
            <w:pPr>
              <w:jc w:val="center"/>
              <w:rPr>
                <w:rFonts w:hint="eastAsia" w:ascii="宋体" w:hAnsi="宋体" w:cs="仿宋_GB2312"/>
                <w:b/>
                <w:sz w:val="24"/>
              </w:rPr>
            </w:pPr>
            <w:r>
              <w:rPr>
                <w:rFonts w:hint="eastAsia" w:ascii="宋体" w:hAnsi="宋体" w:cs="仿宋_GB2312"/>
                <w:b/>
                <w:sz w:val="24"/>
              </w:rPr>
              <w:t>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2" w:type="pct"/>
            <w:vMerge w:val="restart"/>
            <w:vAlign w:val="center"/>
          </w:tcPr>
          <w:p>
            <w:pPr>
              <w:jc w:val="center"/>
              <w:rPr>
                <w:rFonts w:hint="eastAsia" w:ascii="宋体" w:hAnsi="宋体" w:cs="仿宋_GB2312"/>
                <w:sz w:val="24"/>
              </w:rPr>
            </w:pPr>
            <w:r>
              <w:rPr>
                <w:rFonts w:hint="eastAsia" w:ascii="宋体" w:hAnsi="宋体" w:cs="仿宋_GB2312"/>
                <w:sz w:val="24"/>
              </w:rPr>
              <w:t>项目管理</w:t>
            </w:r>
          </w:p>
        </w:tc>
        <w:tc>
          <w:tcPr>
            <w:tcW w:w="4178" w:type="pct"/>
            <w:vAlign w:val="center"/>
          </w:tcPr>
          <w:p>
            <w:pPr>
              <w:rPr>
                <w:rFonts w:hint="eastAsia" w:ascii="宋体" w:hAnsi="宋体" w:cs="仿宋_GB2312"/>
                <w:sz w:val="24"/>
              </w:rPr>
            </w:pPr>
            <w:r>
              <w:rPr>
                <w:rFonts w:hint="eastAsia" w:ascii="宋体" w:hAnsi="宋体" w:cs="仿宋_GB2312"/>
                <w:sz w:val="24"/>
              </w:rPr>
              <w:t>《项目详细实施计划》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2" w:type="pct"/>
            <w:vMerge w:val="continue"/>
            <w:vAlign w:val="center"/>
          </w:tcPr>
          <w:p>
            <w:pPr>
              <w:rPr>
                <w:rFonts w:hint="eastAsia" w:ascii="宋体" w:hAnsi="宋体" w:cs="仿宋_GB2312"/>
                <w:sz w:val="24"/>
              </w:rPr>
            </w:pPr>
          </w:p>
        </w:tc>
        <w:tc>
          <w:tcPr>
            <w:tcW w:w="4178" w:type="pct"/>
            <w:vAlign w:val="center"/>
          </w:tcPr>
          <w:p>
            <w:pPr>
              <w:rPr>
                <w:rFonts w:hint="eastAsia" w:ascii="宋体" w:hAnsi="宋体" w:cs="仿宋_GB2312"/>
                <w:sz w:val="24"/>
              </w:rPr>
            </w:pPr>
            <w:r>
              <w:rPr>
                <w:rFonts w:hint="eastAsia" w:ascii="宋体" w:hAnsi="宋体" w:cs="仿宋_GB2312"/>
                <w:sz w:val="24"/>
              </w:rPr>
              <w:t>《项目质量审计报告》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2" w:type="pct"/>
            <w:vMerge w:val="continue"/>
            <w:vAlign w:val="center"/>
          </w:tcPr>
          <w:p>
            <w:pPr>
              <w:rPr>
                <w:rFonts w:hint="eastAsia" w:ascii="宋体" w:hAnsi="宋体" w:cs="仿宋_GB2312"/>
                <w:sz w:val="24"/>
              </w:rPr>
            </w:pPr>
          </w:p>
        </w:tc>
        <w:tc>
          <w:tcPr>
            <w:tcW w:w="4178" w:type="pct"/>
            <w:vAlign w:val="center"/>
          </w:tcPr>
          <w:p>
            <w:pPr>
              <w:rPr>
                <w:rFonts w:hint="eastAsia" w:ascii="宋体" w:hAnsi="宋体" w:cs="仿宋_GB2312"/>
                <w:sz w:val="24"/>
              </w:rPr>
            </w:pPr>
            <w:r>
              <w:rPr>
                <w:rFonts w:hint="eastAsia" w:ascii="宋体" w:hAnsi="宋体" w:cs="仿宋_GB2312"/>
                <w:sz w:val="24"/>
              </w:rPr>
              <w:t>《关键人员简历》</w:t>
            </w:r>
            <w:r>
              <w:rPr>
                <w:rFonts w:hint="eastAsia" w:ascii="宋体" w:hAnsi="宋体" w:cs="仿宋_GB2312"/>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2" w:type="pct"/>
            <w:vMerge w:val="continue"/>
            <w:vAlign w:val="center"/>
          </w:tcPr>
          <w:p>
            <w:pPr>
              <w:rPr>
                <w:rFonts w:hint="eastAsia" w:ascii="宋体" w:hAnsi="宋体" w:cs="仿宋_GB2312"/>
                <w:sz w:val="24"/>
              </w:rPr>
            </w:pPr>
          </w:p>
        </w:tc>
        <w:tc>
          <w:tcPr>
            <w:tcW w:w="4178" w:type="pct"/>
            <w:vAlign w:val="center"/>
          </w:tcPr>
          <w:p>
            <w:pPr>
              <w:rPr>
                <w:rFonts w:hint="eastAsia" w:ascii="宋体" w:hAnsi="宋体" w:cs="仿宋_GB2312"/>
                <w:sz w:val="24"/>
              </w:rPr>
            </w:pPr>
            <w:r>
              <w:rPr>
                <w:rFonts w:hint="eastAsia" w:ascii="宋体" w:hAnsi="宋体" w:cs="仿宋_GB2312"/>
                <w:sz w:val="24"/>
              </w:rPr>
              <w:t>《关键人员人力资源变动报告》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22" w:type="pct"/>
            <w:vMerge w:val="continue"/>
            <w:vAlign w:val="center"/>
          </w:tcPr>
          <w:p>
            <w:pPr>
              <w:rPr>
                <w:rFonts w:hint="eastAsia" w:ascii="宋体" w:hAnsi="宋体" w:cs="仿宋_GB2312"/>
                <w:sz w:val="24"/>
              </w:rPr>
            </w:pPr>
          </w:p>
        </w:tc>
        <w:tc>
          <w:tcPr>
            <w:tcW w:w="4178" w:type="pct"/>
            <w:vAlign w:val="center"/>
          </w:tcPr>
          <w:p>
            <w:pPr>
              <w:rPr>
                <w:rFonts w:hint="eastAsia" w:ascii="宋体" w:hAnsi="宋体" w:cs="仿宋_GB2312"/>
                <w:sz w:val="24"/>
              </w:rPr>
            </w:pPr>
            <w:r>
              <w:rPr>
                <w:rFonts w:hint="eastAsia" w:ascii="宋体" w:hAnsi="宋体" w:cs="仿宋_GB2312"/>
                <w:sz w:val="24"/>
              </w:rPr>
              <w:t>项目状态报告：日常管理采用周报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2" w:type="pct"/>
            <w:vMerge w:val="restart"/>
            <w:vAlign w:val="center"/>
          </w:tcPr>
          <w:p>
            <w:pPr>
              <w:jc w:val="center"/>
              <w:rPr>
                <w:rFonts w:hint="eastAsia" w:ascii="宋体" w:hAnsi="宋体" w:cs="仿宋_GB2312"/>
                <w:sz w:val="24"/>
              </w:rPr>
            </w:pPr>
            <w:r>
              <w:rPr>
                <w:rFonts w:hint="eastAsia" w:ascii="宋体" w:hAnsi="宋体" w:cs="仿宋_GB2312"/>
                <w:sz w:val="24"/>
              </w:rPr>
              <w:t>合版</w:t>
            </w:r>
          </w:p>
        </w:tc>
        <w:tc>
          <w:tcPr>
            <w:tcW w:w="4178" w:type="pct"/>
          </w:tcPr>
          <w:p>
            <w:pPr>
              <w:rPr>
                <w:rFonts w:hint="eastAsia" w:ascii="宋体" w:hAnsi="宋体" w:cs="仿宋_GB2312"/>
                <w:sz w:val="24"/>
              </w:rPr>
            </w:pPr>
            <w:r>
              <w:rPr>
                <w:rFonts w:hint="eastAsia" w:ascii="宋体" w:hAnsi="宋体" w:cs="仿宋_GB2312"/>
                <w:sz w:val="24"/>
              </w:rPr>
              <w:t>《系统内集成测试（验证）案例》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2" w:type="pct"/>
            <w:vMerge w:val="continue"/>
            <w:vAlign w:val="center"/>
          </w:tcPr>
          <w:p>
            <w:pPr>
              <w:jc w:val="center"/>
              <w:rPr>
                <w:rFonts w:hint="eastAsia" w:ascii="宋体" w:hAnsi="宋体" w:cs="仿宋_GB2312"/>
                <w:sz w:val="24"/>
              </w:rPr>
            </w:pPr>
          </w:p>
        </w:tc>
        <w:tc>
          <w:tcPr>
            <w:tcW w:w="4178" w:type="pct"/>
          </w:tcPr>
          <w:p>
            <w:pPr>
              <w:rPr>
                <w:rFonts w:hint="eastAsia" w:ascii="宋体" w:hAnsi="宋体" w:cs="仿宋_GB2312"/>
                <w:sz w:val="24"/>
              </w:rPr>
            </w:pPr>
            <w:r>
              <w:rPr>
                <w:rFonts w:hint="eastAsia" w:ascii="宋体" w:hAnsi="宋体" w:cs="仿宋_GB2312"/>
                <w:sz w:val="24"/>
              </w:rPr>
              <w:t>《系统内集成测试（验证）报告》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2" w:type="pct"/>
            <w:vMerge w:val="restart"/>
            <w:vAlign w:val="center"/>
          </w:tcPr>
          <w:p>
            <w:pPr>
              <w:jc w:val="center"/>
              <w:rPr>
                <w:rFonts w:hint="eastAsia" w:ascii="宋体" w:hAnsi="宋体" w:cs="仿宋_GB2312"/>
                <w:sz w:val="24"/>
              </w:rPr>
            </w:pPr>
            <w:r>
              <w:rPr>
                <w:rFonts w:hint="eastAsia" w:ascii="宋体" w:hAnsi="宋体" w:cs="仿宋_GB2312"/>
                <w:sz w:val="24"/>
              </w:rPr>
              <w:t>测试</w:t>
            </w:r>
          </w:p>
        </w:tc>
        <w:tc>
          <w:tcPr>
            <w:tcW w:w="4178" w:type="pct"/>
          </w:tcPr>
          <w:p>
            <w:pPr>
              <w:rPr>
                <w:rFonts w:hint="eastAsia" w:ascii="宋体" w:hAnsi="宋体" w:cs="仿宋_GB2312"/>
                <w:sz w:val="24"/>
              </w:rPr>
            </w:pPr>
            <w:r>
              <w:rPr>
                <w:rFonts w:hint="eastAsia" w:ascii="宋体" w:hAnsi="宋体" w:cs="仿宋_GB2312"/>
                <w:sz w:val="24"/>
              </w:rPr>
              <w:t>《回归测试案例》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2" w:type="pct"/>
            <w:vMerge w:val="continue"/>
            <w:vAlign w:val="center"/>
          </w:tcPr>
          <w:p>
            <w:pPr>
              <w:rPr>
                <w:rFonts w:hint="eastAsia" w:ascii="宋体" w:hAnsi="宋体" w:cs="仿宋_GB2312"/>
                <w:sz w:val="24"/>
              </w:rPr>
            </w:pPr>
          </w:p>
        </w:tc>
        <w:tc>
          <w:tcPr>
            <w:tcW w:w="4178" w:type="pct"/>
          </w:tcPr>
          <w:p>
            <w:pPr>
              <w:rPr>
                <w:rFonts w:hint="eastAsia" w:ascii="宋体" w:hAnsi="宋体" w:cs="仿宋_GB2312"/>
                <w:sz w:val="24"/>
              </w:rPr>
            </w:pPr>
            <w:r>
              <w:rPr>
                <w:rFonts w:hint="eastAsia" w:ascii="宋体" w:hAnsi="宋体" w:cs="仿宋_GB2312"/>
                <w:sz w:val="24"/>
              </w:rPr>
              <w:t>《回归测试报告》</w:t>
            </w:r>
            <w:r>
              <w:rPr>
                <w:rFonts w:hint="eastAsia" w:ascii="宋体" w:hAnsi="宋体" w:cs="仿宋_GB2312"/>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2" w:type="pct"/>
            <w:vMerge w:val="continue"/>
            <w:vAlign w:val="center"/>
          </w:tcPr>
          <w:p>
            <w:pPr>
              <w:rPr>
                <w:rFonts w:hint="eastAsia" w:ascii="宋体" w:hAnsi="宋体" w:cs="仿宋_GB2312"/>
                <w:sz w:val="24"/>
              </w:rPr>
            </w:pPr>
          </w:p>
        </w:tc>
        <w:tc>
          <w:tcPr>
            <w:tcW w:w="4178" w:type="pct"/>
          </w:tcPr>
          <w:p>
            <w:pPr>
              <w:rPr>
                <w:rFonts w:hint="eastAsia" w:ascii="宋体" w:hAnsi="宋体" w:cs="仿宋_GB2312"/>
                <w:sz w:val="24"/>
              </w:rPr>
            </w:pPr>
            <w:r>
              <w:rPr>
                <w:rFonts w:hint="eastAsia" w:ascii="宋体" w:hAnsi="宋体" w:cs="仿宋_GB2312"/>
                <w:sz w:val="24"/>
              </w:rPr>
              <w:t>通过验收测试后的源代码</w:t>
            </w:r>
          </w:p>
        </w:tc>
      </w:tr>
    </w:tbl>
    <w:p>
      <w:pPr>
        <w:pStyle w:val="8"/>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10" w:name="_Toc18403"/>
      <w:r>
        <w:rPr>
          <w:rFonts w:hint="eastAsia" w:ascii="宋体" w:hAnsi="宋体" w:eastAsia="宋体"/>
          <w:b w:val="0"/>
          <w:bCs w:val="0"/>
          <w:sz w:val="24"/>
          <w:szCs w:val="24"/>
        </w:rPr>
        <w:fldChar w:fldCharType="begin"/>
      </w:r>
      <w:r>
        <w:rPr>
          <w:rFonts w:hint="eastAsia" w:ascii="宋体" w:hAnsi="宋体" w:eastAsia="宋体"/>
          <w:b w:val="0"/>
          <w:bCs w:val="0"/>
          <w:sz w:val="24"/>
          <w:szCs w:val="24"/>
        </w:rPr>
        <w:instrText xml:space="preserve"> HYPERLINK \l _Toc29694 </w:instrText>
      </w:r>
      <w:r>
        <w:rPr>
          <w:rFonts w:hint="eastAsia" w:ascii="宋体" w:hAnsi="宋体" w:eastAsia="宋体"/>
          <w:b w:val="0"/>
          <w:bCs w:val="0"/>
          <w:sz w:val="24"/>
          <w:szCs w:val="24"/>
        </w:rPr>
        <w:fldChar w:fldCharType="separate"/>
      </w:r>
      <w:r>
        <w:rPr>
          <w:rFonts w:hint="eastAsia" w:ascii="宋体" w:hAnsi="宋体" w:eastAsia="宋体"/>
          <w:b w:val="0"/>
          <w:bCs w:val="0"/>
          <w:sz w:val="24"/>
          <w:szCs w:val="24"/>
        </w:rPr>
        <w:t>六、项目团队要求</w:t>
      </w:r>
      <w:r>
        <w:rPr>
          <w:rFonts w:hint="eastAsia" w:ascii="宋体" w:hAnsi="宋体" w:eastAsia="宋体"/>
          <w:b w:val="0"/>
          <w:bCs w:val="0"/>
          <w:sz w:val="24"/>
          <w:szCs w:val="24"/>
        </w:rPr>
        <w:fldChar w:fldCharType="end"/>
      </w:r>
      <w:bookmarkEnd w:id="10"/>
    </w:p>
    <w:p>
      <w:pPr>
        <w:spacing w:line="360" w:lineRule="auto"/>
        <w:ind w:firstLine="480" w:firstLineChars="200"/>
        <w:rPr>
          <w:rFonts w:hint="eastAsia" w:ascii="宋体" w:hAnsi="宋体" w:cs="仿宋_GB2312"/>
          <w:sz w:val="24"/>
        </w:rPr>
      </w:pPr>
      <w:r>
        <w:rPr>
          <w:rFonts w:hint="eastAsia" w:ascii="宋体" w:hAnsi="宋体" w:cs="仿宋_GB2312"/>
          <w:sz w:val="24"/>
        </w:rPr>
        <w:t>熟悉采购人联合开发系统实施现状，具有项目系统相关实施经验；具备完成服务范围内各项工作的能力；团队中关键核心岗位人员，如项目经理、关键技术人员等不得外包。</w:t>
      </w:r>
    </w:p>
    <w:p>
      <w:pPr>
        <w:spacing w:line="360" w:lineRule="auto"/>
        <w:ind w:firstLine="480" w:firstLineChars="200"/>
        <w:rPr>
          <w:rFonts w:hint="eastAsia" w:ascii="宋体" w:hAnsi="宋体" w:cs="仿宋_GB2312"/>
          <w:sz w:val="24"/>
        </w:rPr>
      </w:pPr>
      <w:r>
        <w:rPr>
          <w:rFonts w:hint="eastAsia" w:ascii="宋体" w:hAnsi="宋体" w:cs="仿宋_GB2312"/>
          <w:sz w:val="24"/>
        </w:rPr>
        <w:t>1.承诺已进入项目组的关键核心岗位人员不得随意更换。如确实需要更换人员须经过采购人审核通过后方可换人。同时要求新换人员必须通过采购人的审核，且由供应商保证人员更换期间工作的连续性。其他岗位人员如有更换需书面告知采购人，并承诺不因此降低服务质量。</w:t>
      </w:r>
    </w:p>
    <w:p>
      <w:pPr>
        <w:spacing w:line="360" w:lineRule="auto"/>
        <w:ind w:firstLine="480" w:firstLineChars="200"/>
        <w:rPr>
          <w:rFonts w:hint="eastAsia" w:ascii="宋体" w:hAnsi="宋体" w:cs="仿宋_GB2312"/>
          <w:sz w:val="24"/>
        </w:rPr>
      </w:pPr>
      <w:r>
        <w:rPr>
          <w:rFonts w:hint="eastAsia" w:ascii="宋体" w:hAnsi="宋体" w:cs="仿宋_GB2312"/>
          <w:sz w:val="24"/>
        </w:rPr>
        <w:t>2.承诺已进入项目组的驻场服务人员，</w:t>
      </w:r>
      <w:r>
        <w:rPr>
          <w:rFonts w:hint="eastAsia" w:ascii="宋体" w:hAnsi="宋体" w:cs="仿宋"/>
          <w:sz w:val="24"/>
        </w:rPr>
        <w:t>要提供人员简历、学历证明复印件及人员相关认证资质复印件，签署安全保密承诺书，并</w:t>
      </w:r>
      <w:r>
        <w:rPr>
          <w:rFonts w:hint="eastAsia" w:ascii="宋体" w:hAnsi="宋体" w:cs="仿宋_GB2312"/>
          <w:sz w:val="24"/>
        </w:rPr>
        <w:t>满足采购人管理要求：</w:t>
      </w:r>
    </w:p>
    <w:p>
      <w:pPr>
        <w:spacing w:line="360" w:lineRule="auto"/>
        <w:ind w:firstLine="480" w:firstLineChars="200"/>
        <w:rPr>
          <w:rFonts w:hint="eastAsia" w:ascii="宋体" w:hAnsi="宋体" w:cs="仿宋_GB2312"/>
          <w:sz w:val="24"/>
        </w:rPr>
      </w:pPr>
      <w:r>
        <w:rPr>
          <w:rFonts w:hint="eastAsia" w:ascii="宋体" w:hAnsi="宋体" w:cs="仿宋_GB2312"/>
          <w:sz w:val="24"/>
        </w:rPr>
        <w:t>（1）所有驻场服务人员必须遵守采购人作息制度和相关工作制度规定，提供5*8小时驻场服务。</w:t>
      </w:r>
    </w:p>
    <w:p>
      <w:pPr>
        <w:spacing w:line="360" w:lineRule="auto"/>
        <w:ind w:firstLine="480" w:firstLineChars="200"/>
        <w:rPr>
          <w:rFonts w:hint="eastAsia" w:ascii="宋体" w:hAnsi="宋体" w:cs="仿宋_GB2312"/>
          <w:sz w:val="24"/>
        </w:rPr>
      </w:pPr>
      <w:r>
        <w:rPr>
          <w:rFonts w:hint="eastAsia" w:ascii="宋体" w:hAnsi="宋体" w:cs="仿宋_GB2312"/>
          <w:sz w:val="24"/>
        </w:rPr>
        <w:t>（2）驻场服务期间，所有驻场服务人员必须严格按照采购人各项规章制度合规开展工作；驻场服务地点为采购人指定地点。</w:t>
      </w:r>
    </w:p>
    <w:p>
      <w:pPr>
        <w:spacing w:line="360" w:lineRule="auto"/>
        <w:ind w:firstLine="480" w:firstLineChars="200"/>
        <w:rPr>
          <w:rFonts w:hint="eastAsia" w:ascii="宋体" w:hAnsi="宋体" w:cs="仿宋_GB2312"/>
          <w:sz w:val="24"/>
        </w:rPr>
      </w:pPr>
      <w:r>
        <w:rPr>
          <w:rFonts w:hint="eastAsia" w:ascii="宋体" w:hAnsi="宋体" w:cs="仿宋_GB2312"/>
          <w:sz w:val="24"/>
        </w:rPr>
        <w:t>（3）任何驻场服务人员不得随意更换。如果更换人员则供应商应提前1个月通知采购人，并经过采购人审核通过后方可换人。同时要求新换人员必须通过采购人的审核，且由供应商保证人员更换期间支持工作的连续性；</w:t>
      </w:r>
    </w:p>
    <w:p>
      <w:pPr>
        <w:spacing w:line="360" w:lineRule="auto"/>
        <w:ind w:firstLine="480" w:firstLineChars="200"/>
        <w:rPr>
          <w:rFonts w:hint="eastAsia" w:ascii="宋体" w:hAnsi="宋体" w:cs="仿宋_GB2312"/>
          <w:sz w:val="24"/>
        </w:rPr>
      </w:pPr>
      <w:r>
        <w:rPr>
          <w:rFonts w:hint="eastAsia" w:ascii="宋体" w:hAnsi="宋体" w:cs="仿宋_GB2312"/>
          <w:sz w:val="24"/>
        </w:rPr>
        <w:t>（4）如果支持人员因违反采购人工作纪律或相关运行制度，并给采购人造成了损失，则供应商有责任进行赔偿，具体赔偿标准见合同。</w:t>
      </w:r>
    </w:p>
    <w:p>
      <w:pPr>
        <w:spacing w:line="360" w:lineRule="auto"/>
        <w:ind w:firstLine="480" w:firstLineChars="200"/>
        <w:rPr>
          <w:rFonts w:hint="eastAsia" w:ascii="宋体" w:hAnsi="宋体"/>
          <w:sz w:val="24"/>
        </w:rPr>
      </w:pPr>
      <w:r>
        <w:rPr>
          <w:rFonts w:hint="eastAsia" w:ascii="宋体" w:hAnsi="宋体" w:cs="仿宋_GB2312"/>
          <w:sz w:val="24"/>
        </w:rPr>
        <w:t>（5）根据支持效果，对于不能够胜任支持工作的人员，采购人有权利要求供应商重新进行调换。同时由供应商保证人员更换期间支持工作的连续性。</w:t>
      </w:r>
    </w:p>
    <w:p>
      <w:pPr>
        <w:pStyle w:val="8"/>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11" w:name="_Toc19430"/>
      <w:bookmarkStart w:id="12" w:name="_Toc1526"/>
      <w:r>
        <w:rPr>
          <w:rFonts w:hint="eastAsia" w:ascii="宋体" w:hAnsi="宋体" w:eastAsia="宋体"/>
          <w:b w:val="0"/>
          <w:bCs w:val="0"/>
          <w:sz w:val="24"/>
          <w:szCs w:val="24"/>
        </w:rPr>
        <w:t>七、安全要求</w:t>
      </w:r>
      <w:bookmarkEnd w:id="11"/>
      <w:bookmarkEnd w:id="12"/>
    </w:p>
    <w:p>
      <w:pPr>
        <w:adjustRightInd w:val="0"/>
        <w:spacing w:line="360" w:lineRule="auto"/>
        <w:ind w:firstLine="480" w:firstLineChars="200"/>
        <w:textAlignment w:val="baseline"/>
        <w:rPr>
          <w:rFonts w:hint="eastAsia" w:ascii="宋体" w:hAnsi="宋体"/>
          <w:sz w:val="24"/>
        </w:rPr>
      </w:pPr>
      <w:r>
        <w:rPr>
          <w:rFonts w:hint="eastAsia" w:ascii="宋体" w:hAnsi="宋体"/>
          <w:sz w:val="24"/>
        </w:rPr>
        <w:t>在未征得采购人同意的情况下，供应商必须保证所提供的人员能够严格遵守各项规章制度，主要包括但不限于以下内容：</w:t>
      </w:r>
    </w:p>
    <w:p>
      <w:pPr>
        <w:adjustRightInd w:val="0"/>
        <w:spacing w:line="360" w:lineRule="auto"/>
        <w:ind w:firstLine="480" w:firstLineChars="200"/>
        <w:textAlignment w:val="baseline"/>
        <w:rPr>
          <w:rFonts w:hint="eastAsia" w:ascii="宋体" w:hAnsi="宋体"/>
          <w:sz w:val="24"/>
        </w:rPr>
      </w:pPr>
      <w:r>
        <w:rPr>
          <w:rFonts w:hint="eastAsia" w:ascii="宋体" w:hAnsi="宋体"/>
          <w:sz w:val="24"/>
        </w:rPr>
        <w:t>（一）法律合规方面，应有效规避实施过程中给采购人带来的法律风险。</w:t>
      </w:r>
    </w:p>
    <w:p>
      <w:pPr>
        <w:adjustRightInd w:val="0"/>
        <w:spacing w:line="360" w:lineRule="auto"/>
        <w:ind w:firstLine="480" w:firstLineChars="200"/>
        <w:textAlignment w:val="baseline"/>
        <w:rPr>
          <w:rFonts w:hint="eastAsia" w:ascii="宋体" w:hAnsi="宋体"/>
          <w:sz w:val="24"/>
        </w:rPr>
      </w:pPr>
      <w:r>
        <w:rPr>
          <w:rFonts w:hint="eastAsia" w:ascii="宋体" w:hAnsi="宋体"/>
          <w:sz w:val="24"/>
        </w:rPr>
        <w:t>（二）信息安全方面，应有效规避因服务人员导致的银行信息（如业务数据和商务信息等）泄漏风险。</w:t>
      </w:r>
    </w:p>
    <w:p>
      <w:pPr>
        <w:adjustRightInd w:val="0"/>
        <w:spacing w:line="360" w:lineRule="auto"/>
        <w:ind w:firstLine="480" w:firstLineChars="200"/>
        <w:textAlignment w:val="baseline"/>
        <w:rPr>
          <w:rFonts w:hint="eastAsia" w:ascii="宋体" w:hAnsi="宋体"/>
          <w:sz w:val="24"/>
        </w:rPr>
      </w:pPr>
      <w:r>
        <w:rPr>
          <w:rFonts w:hint="eastAsia" w:ascii="宋体" w:hAnsi="宋体"/>
          <w:sz w:val="24"/>
        </w:rPr>
        <w:t>（三）生产安全方面，应严格规避因人员操作不当，导致的银行系统出现安全性和稳定性风险事件。</w:t>
      </w:r>
    </w:p>
    <w:p>
      <w:pPr>
        <w:adjustRightInd w:val="0"/>
        <w:spacing w:line="360" w:lineRule="auto"/>
        <w:ind w:firstLine="480" w:firstLineChars="200"/>
        <w:textAlignment w:val="baseline"/>
        <w:rPr>
          <w:rFonts w:hint="eastAsia" w:ascii="宋体" w:hAnsi="宋体"/>
          <w:sz w:val="24"/>
        </w:rPr>
      </w:pPr>
      <w:r>
        <w:rPr>
          <w:rFonts w:hint="eastAsia" w:ascii="宋体" w:hAnsi="宋体"/>
          <w:sz w:val="24"/>
        </w:rPr>
        <w:t>（四）安全审计方面，应确保针对银行设备的相关操作留有纸质或视频记录。</w:t>
      </w:r>
    </w:p>
    <w:p>
      <w:pPr>
        <w:adjustRightInd w:val="0"/>
        <w:spacing w:line="360" w:lineRule="auto"/>
        <w:ind w:firstLine="480" w:firstLineChars="200"/>
        <w:textAlignment w:val="baseline"/>
        <w:rPr>
          <w:rFonts w:hint="eastAsia" w:ascii="宋体" w:hAnsi="宋体"/>
          <w:sz w:val="24"/>
        </w:rPr>
      </w:pPr>
      <w:r>
        <w:rPr>
          <w:rFonts w:hint="eastAsia" w:ascii="宋体" w:hAnsi="宋体"/>
          <w:sz w:val="24"/>
        </w:rPr>
        <w:t>（五）</w:t>
      </w:r>
      <w:r>
        <w:rPr>
          <w:rFonts w:ascii="宋体" w:hAnsi="宋体"/>
          <w:sz w:val="24"/>
        </w:rPr>
        <w:t>保密</w:t>
      </w:r>
      <w:r>
        <w:rPr>
          <w:rFonts w:hint="eastAsia" w:ascii="宋体" w:hAnsi="宋体"/>
          <w:sz w:val="24"/>
        </w:rPr>
        <w:t>要求方面，</w:t>
      </w:r>
      <w:r>
        <w:rPr>
          <w:rFonts w:ascii="宋体" w:hAnsi="宋体"/>
          <w:sz w:val="24"/>
        </w:rPr>
        <w:t>供应商对项目实施中涉及到的相关数据、资料、文档等具有保密的义务，并应按照相应保密规定执行。本项目所形成的数据成果归</w:t>
      </w:r>
      <w:r>
        <w:rPr>
          <w:rFonts w:hint="eastAsia" w:ascii="宋体" w:hAnsi="宋体"/>
          <w:sz w:val="24"/>
        </w:rPr>
        <w:t>采购人</w:t>
      </w:r>
      <w:r>
        <w:rPr>
          <w:rFonts w:ascii="宋体" w:hAnsi="宋体"/>
          <w:sz w:val="24"/>
        </w:rPr>
        <w:t>所有。未经</w:t>
      </w:r>
      <w:r>
        <w:rPr>
          <w:rFonts w:hint="eastAsia" w:ascii="宋体" w:hAnsi="宋体"/>
          <w:sz w:val="24"/>
        </w:rPr>
        <w:t>采购人</w:t>
      </w:r>
      <w:r>
        <w:rPr>
          <w:rFonts w:ascii="宋体" w:hAnsi="宋体"/>
          <w:sz w:val="24"/>
        </w:rPr>
        <w:t>同意，供应商</w:t>
      </w:r>
      <w:r>
        <w:rPr>
          <w:rFonts w:hint="eastAsia" w:ascii="宋体" w:hAnsi="宋体"/>
          <w:sz w:val="24"/>
        </w:rPr>
        <w:t>不得向第三方泄露、公开或用于提供法律服务之外的其他目的，对掌握的采购人、采购人客户的资料，供应商应采取措施与其他客户资料施行有效隔离。</w:t>
      </w:r>
    </w:p>
    <w:p>
      <w:pPr>
        <w:pStyle w:val="8"/>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13" w:name="_Toc21831"/>
      <w:bookmarkStart w:id="14" w:name="_Toc7482"/>
      <w:r>
        <w:rPr>
          <w:rFonts w:hint="eastAsia" w:ascii="宋体" w:hAnsi="宋体" w:eastAsia="宋体"/>
          <w:b w:val="0"/>
          <w:bCs w:val="0"/>
          <w:sz w:val="24"/>
          <w:szCs w:val="24"/>
        </w:rPr>
        <w:t>八</w:t>
      </w:r>
      <w:r>
        <w:rPr>
          <w:rFonts w:ascii="宋体" w:hAnsi="宋体" w:eastAsia="宋体"/>
          <w:b w:val="0"/>
          <w:bCs w:val="0"/>
          <w:sz w:val="24"/>
          <w:szCs w:val="24"/>
        </w:rPr>
        <w:t>、交付或实施时间、地点</w:t>
      </w:r>
      <w:bookmarkEnd w:id="13"/>
      <w:bookmarkEnd w:id="14"/>
    </w:p>
    <w:p>
      <w:pPr>
        <w:adjustRightInd w:val="0"/>
        <w:spacing w:line="360" w:lineRule="auto"/>
        <w:ind w:firstLine="480" w:firstLineChars="200"/>
        <w:textAlignment w:val="baseline"/>
        <w:rPr>
          <w:rFonts w:hint="eastAsia" w:ascii="宋体" w:hAnsi="宋体" w:cs="楷体_GB2312"/>
          <w:sz w:val="24"/>
        </w:rPr>
      </w:pPr>
      <w:r>
        <w:rPr>
          <w:rFonts w:hint="eastAsia" w:ascii="宋体" w:hAnsi="宋体" w:cs="楷体_GB2312"/>
          <w:sz w:val="24"/>
        </w:rPr>
        <w:t>（一）项目周期</w:t>
      </w:r>
    </w:p>
    <w:p>
      <w:pPr>
        <w:widowControl/>
        <w:adjustRightInd w:val="0"/>
        <w:spacing w:line="360" w:lineRule="auto"/>
        <w:ind w:firstLine="480" w:firstLineChars="200"/>
        <w:textAlignment w:val="baseline"/>
        <w:rPr>
          <w:rFonts w:hint="eastAsia" w:ascii="宋体" w:hAnsi="宋体"/>
          <w:sz w:val="24"/>
        </w:rPr>
      </w:pPr>
      <w:r>
        <w:rPr>
          <w:rFonts w:hint="eastAsia" w:ascii="宋体" w:hAnsi="宋体"/>
          <w:sz w:val="24"/>
        </w:rPr>
        <w:t>合同签署至</w:t>
      </w:r>
      <w:r>
        <w:rPr>
          <w:rFonts w:ascii="宋体" w:hAnsi="宋体"/>
          <w:sz w:val="24"/>
        </w:rPr>
        <w:t>项目</w:t>
      </w:r>
      <w:r>
        <w:rPr>
          <w:rFonts w:hint="eastAsia" w:ascii="宋体" w:hAnsi="宋体"/>
          <w:sz w:val="24"/>
        </w:rPr>
        <w:t>验收后12个月。</w:t>
      </w:r>
    </w:p>
    <w:p>
      <w:pPr>
        <w:widowControl/>
        <w:adjustRightInd w:val="0"/>
        <w:spacing w:line="360" w:lineRule="auto"/>
        <w:ind w:firstLine="480" w:firstLineChars="200"/>
        <w:textAlignment w:val="baseline"/>
        <w:rPr>
          <w:rFonts w:hint="eastAsia" w:ascii="宋体" w:hAnsi="宋体" w:cs="楷体_GB2312"/>
          <w:sz w:val="24"/>
        </w:rPr>
      </w:pPr>
      <w:r>
        <w:rPr>
          <w:rFonts w:hint="eastAsia" w:ascii="宋体" w:hAnsi="宋体" w:cs="楷体_GB2312"/>
          <w:sz w:val="24"/>
        </w:rPr>
        <w:t>（二）服务地点</w:t>
      </w:r>
    </w:p>
    <w:p>
      <w:pPr>
        <w:widowControl/>
        <w:adjustRightInd w:val="0"/>
        <w:spacing w:line="360" w:lineRule="auto"/>
        <w:ind w:firstLine="480" w:firstLineChars="200"/>
        <w:textAlignment w:val="baseline"/>
        <w:rPr>
          <w:rFonts w:hint="eastAsia" w:ascii="宋体" w:hAnsi="宋体"/>
          <w:sz w:val="24"/>
        </w:rPr>
      </w:pPr>
      <w:r>
        <w:rPr>
          <w:rFonts w:ascii="宋体" w:hAnsi="宋体"/>
          <w:sz w:val="24"/>
        </w:rPr>
        <w:t>中国进出口银行信息科技部</w:t>
      </w:r>
      <w:r>
        <w:rPr>
          <w:rFonts w:hint="eastAsia" w:ascii="宋体" w:hAnsi="宋体"/>
          <w:sz w:val="24"/>
        </w:rPr>
        <w:t>（北京或其他指定地点）</w:t>
      </w:r>
      <w:r>
        <w:rPr>
          <w:rFonts w:ascii="宋体" w:hAnsi="宋体"/>
          <w:sz w:val="24"/>
        </w:rPr>
        <w:t>。</w:t>
      </w:r>
    </w:p>
    <w:p>
      <w:pPr>
        <w:pStyle w:val="8"/>
        <w:numPr>
          <w:ilvl w:val="0"/>
          <w:numId w:val="4"/>
        </w:numPr>
        <w:adjustRightInd w:val="0"/>
        <w:spacing w:before="0" w:beforeLines="0" w:after="0" w:afterLines="0" w:line="360" w:lineRule="auto"/>
        <w:ind w:firstLine="480" w:firstLineChars="200"/>
        <w:textAlignment w:val="baseline"/>
        <w:outlineLvl w:val="0"/>
        <w:rPr>
          <w:rFonts w:hint="eastAsia" w:ascii="宋体" w:hAnsi="宋体" w:eastAsia="宋体"/>
          <w:b w:val="0"/>
          <w:bCs w:val="0"/>
          <w:sz w:val="24"/>
          <w:szCs w:val="24"/>
        </w:rPr>
      </w:pPr>
      <w:bookmarkStart w:id="15" w:name="_Toc2325"/>
      <w:bookmarkStart w:id="16" w:name="_Toc27829"/>
      <w:r>
        <w:rPr>
          <w:rFonts w:ascii="宋体" w:hAnsi="宋体" w:eastAsia="宋体"/>
          <w:b w:val="0"/>
          <w:bCs w:val="0"/>
          <w:sz w:val="24"/>
          <w:szCs w:val="24"/>
        </w:rPr>
        <w:t>财务支付要求</w:t>
      </w:r>
      <w:bookmarkEnd w:id="15"/>
    </w:p>
    <w:bookmarkEnd w:id="16"/>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79"/>
        <w:gridCol w:w="5953"/>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6" w:type="pct"/>
            <w:vAlign w:val="center"/>
          </w:tcPr>
          <w:p>
            <w:pPr>
              <w:widowControl/>
              <w:adjustRightInd w:val="0"/>
              <w:jc w:val="center"/>
              <w:textAlignment w:val="baseline"/>
              <w:rPr>
                <w:rFonts w:hint="eastAsia" w:ascii="宋体" w:hAnsi="宋体" w:cs="黑体"/>
                <w:sz w:val="24"/>
              </w:rPr>
            </w:pPr>
            <w:r>
              <w:rPr>
                <w:rFonts w:hint="eastAsia" w:ascii="宋体" w:hAnsi="宋体" w:cs="黑体"/>
                <w:sz w:val="24"/>
              </w:rPr>
              <w:t>序号</w:t>
            </w:r>
          </w:p>
        </w:tc>
        <w:tc>
          <w:tcPr>
            <w:tcW w:w="622" w:type="pct"/>
            <w:vAlign w:val="center"/>
          </w:tcPr>
          <w:p>
            <w:pPr>
              <w:widowControl/>
              <w:adjustRightInd w:val="0"/>
              <w:jc w:val="center"/>
              <w:textAlignment w:val="baseline"/>
              <w:rPr>
                <w:rFonts w:hint="eastAsia" w:ascii="宋体" w:hAnsi="宋体" w:cs="黑体"/>
                <w:sz w:val="24"/>
              </w:rPr>
            </w:pPr>
            <w:r>
              <w:rPr>
                <w:rFonts w:hint="eastAsia" w:ascii="宋体" w:hAnsi="宋体" w:cs="黑体"/>
                <w:sz w:val="24"/>
              </w:rPr>
              <w:t>付款节点</w:t>
            </w:r>
          </w:p>
        </w:tc>
        <w:tc>
          <w:tcPr>
            <w:tcW w:w="2895" w:type="pct"/>
            <w:vAlign w:val="center"/>
          </w:tcPr>
          <w:p>
            <w:pPr>
              <w:widowControl/>
              <w:adjustRightInd w:val="0"/>
              <w:jc w:val="center"/>
              <w:textAlignment w:val="baseline"/>
              <w:rPr>
                <w:rFonts w:hint="eastAsia" w:ascii="宋体" w:hAnsi="宋体" w:cs="黑体"/>
                <w:sz w:val="24"/>
              </w:rPr>
            </w:pPr>
            <w:r>
              <w:rPr>
                <w:rFonts w:hint="eastAsia" w:ascii="宋体" w:hAnsi="宋体" w:cs="黑体"/>
                <w:sz w:val="24"/>
              </w:rPr>
              <w:t>付款条件</w:t>
            </w:r>
          </w:p>
        </w:tc>
        <w:tc>
          <w:tcPr>
            <w:tcW w:w="1087" w:type="pct"/>
            <w:vAlign w:val="center"/>
          </w:tcPr>
          <w:p>
            <w:pPr>
              <w:widowControl/>
              <w:adjustRightInd w:val="0"/>
              <w:jc w:val="center"/>
              <w:textAlignment w:val="baseline"/>
              <w:rPr>
                <w:rFonts w:hint="eastAsia" w:ascii="宋体" w:hAnsi="宋体" w:cs="黑体"/>
                <w:sz w:val="24"/>
              </w:rPr>
            </w:pPr>
            <w:r>
              <w:rPr>
                <w:rFonts w:hint="eastAsia" w:ascii="宋体" w:hAnsi="宋体" w:cs="黑体"/>
                <w:sz w:val="24"/>
              </w:rPr>
              <w:t>付款比例(或金额)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96" w:type="pct"/>
            <w:vAlign w:val="center"/>
          </w:tcPr>
          <w:p>
            <w:pPr>
              <w:jc w:val="center"/>
              <w:rPr>
                <w:rFonts w:hint="eastAsia" w:ascii="宋体" w:hAnsi="宋体"/>
                <w:sz w:val="24"/>
              </w:rPr>
            </w:pPr>
            <w:r>
              <w:rPr>
                <w:rFonts w:ascii="宋体" w:hAnsi="宋体"/>
                <w:sz w:val="24"/>
              </w:rPr>
              <w:t>１</w:t>
            </w:r>
          </w:p>
        </w:tc>
        <w:tc>
          <w:tcPr>
            <w:tcW w:w="622" w:type="pct"/>
            <w:vAlign w:val="center"/>
          </w:tcPr>
          <w:p>
            <w:pPr>
              <w:jc w:val="center"/>
              <w:rPr>
                <w:rFonts w:hint="eastAsia" w:ascii="宋体" w:hAnsi="宋体"/>
                <w:sz w:val="24"/>
              </w:rPr>
            </w:pPr>
            <w:r>
              <w:rPr>
                <w:rFonts w:ascii="宋体" w:hAnsi="宋体"/>
                <w:sz w:val="24"/>
              </w:rPr>
              <w:t>首付款</w:t>
            </w:r>
          </w:p>
        </w:tc>
        <w:tc>
          <w:tcPr>
            <w:tcW w:w="2895" w:type="pct"/>
            <w:vAlign w:val="center"/>
          </w:tcPr>
          <w:p>
            <w:pPr>
              <w:jc w:val="left"/>
              <w:rPr>
                <w:rFonts w:hint="eastAsia" w:ascii="宋体" w:hAnsi="宋体"/>
                <w:sz w:val="24"/>
              </w:rPr>
            </w:pPr>
            <w:r>
              <w:rPr>
                <w:rFonts w:hint="eastAsia" w:ascii="宋体" w:hAnsi="宋体"/>
                <w:sz w:val="24"/>
              </w:rPr>
              <w:t>合同签署</w:t>
            </w:r>
            <w:r>
              <w:rPr>
                <w:rFonts w:ascii="宋体" w:hAnsi="宋体"/>
                <w:sz w:val="24"/>
              </w:rPr>
              <w:t>后，采购人在收到供应商出具的付款申请及相应金额经采购人认可的合法有效发票之日起</w:t>
            </w:r>
            <w:r>
              <w:rPr>
                <w:rFonts w:hint="eastAsia" w:ascii="宋体" w:hAnsi="宋体"/>
                <w:sz w:val="24"/>
              </w:rPr>
              <w:t>20个工作</w:t>
            </w:r>
            <w:r>
              <w:rPr>
                <w:rFonts w:ascii="宋体" w:hAnsi="宋体"/>
                <w:sz w:val="24"/>
              </w:rPr>
              <w:t>日内</w:t>
            </w:r>
          </w:p>
        </w:tc>
        <w:tc>
          <w:tcPr>
            <w:tcW w:w="1087" w:type="pct"/>
            <w:vAlign w:val="center"/>
          </w:tcPr>
          <w:p>
            <w:pPr>
              <w:jc w:val="left"/>
              <w:rPr>
                <w:rFonts w:hint="eastAsia" w:ascii="宋体" w:hAnsi="宋体"/>
                <w:sz w:val="24"/>
              </w:rPr>
            </w:pPr>
            <w:r>
              <w:rPr>
                <w:rFonts w:hint="eastAsia" w:ascii="宋体" w:hAnsi="宋体"/>
                <w:sz w:val="24"/>
              </w:rPr>
              <w:t>付款至</w:t>
            </w:r>
            <w:r>
              <w:rPr>
                <w:rFonts w:ascii="宋体" w:hAnsi="宋体"/>
                <w:sz w:val="24"/>
              </w:rPr>
              <w:t>合同金额的</w:t>
            </w:r>
            <w:r>
              <w:rPr>
                <w:rFonts w:hint="eastAsia" w:ascii="宋体" w:hAnsi="宋体"/>
                <w:sz w:val="24"/>
              </w:rPr>
              <w:t>5</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396" w:type="pct"/>
            <w:vAlign w:val="center"/>
          </w:tcPr>
          <w:p>
            <w:pPr>
              <w:jc w:val="center"/>
              <w:rPr>
                <w:rFonts w:hint="eastAsia" w:ascii="宋体" w:hAnsi="宋体"/>
                <w:sz w:val="24"/>
              </w:rPr>
            </w:pPr>
            <w:r>
              <w:rPr>
                <w:rFonts w:hint="eastAsia" w:ascii="宋体" w:hAnsi="宋体"/>
                <w:sz w:val="24"/>
              </w:rPr>
              <w:t>2</w:t>
            </w:r>
          </w:p>
        </w:tc>
        <w:tc>
          <w:tcPr>
            <w:tcW w:w="622" w:type="pct"/>
            <w:vAlign w:val="center"/>
          </w:tcPr>
          <w:p>
            <w:pPr>
              <w:jc w:val="center"/>
              <w:rPr>
                <w:rFonts w:hint="eastAsia" w:ascii="宋体" w:hAnsi="宋体"/>
                <w:sz w:val="24"/>
              </w:rPr>
            </w:pPr>
            <w:r>
              <w:rPr>
                <w:rFonts w:hint="eastAsia" w:ascii="宋体" w:hAnsi="宋体"/>
                <w:sz w:val="24"/>
              </w:rPr>
              <w:t>验收款</w:t>
            </w:r>
          </w:p>
        </w:tc>
        <w:tc>
          <w:tcPr>
            <w:tcW w:w="2895" w:type="pct"/>
            <w:vAlign w:val="center"/>
          </w:tcPr>
          <w:p>
            <w:pPr>
              <w:jc w:val="left"/>
              <w:rPr>
                <w:rFonts w:hint="eastAsia" w:ascii="宋体" w:hAnsi="宋体"/>
                <w:sz w:val="24"/>
              </w:rPr>
            </w:pPr>
            <w:r>
              <w:rPr>
                <w:rFonts w:hint="eastAsia" w:ascii="宋体" w:hAnsi="宋体"/>
                <w:sz w:val="24"/>
              </w:rPr>
              <w:t>项目通过验收后，采购人自收到供应商出具的付款申请及相应金额经采购人认可的合法有效发票之日起20个工作</w:t>
            </w:r>
            <w:r>
              <w:rPr>
                <w:rFonts w:ascii="宋体" w:hAnsi="宋体"/>
                <w:sz w:val="24"/>
              </w:rPr>
              <w:t>日内</w:t>
            </w:r>
          </w:p>
        </w:tc>
        <w:tc>
          <w:tcPr>
            <w:tcW w:w="1087" w:type="pct"/>
            <w:vAlign w:val="center"/>
          </w:tcPr>
          <w:p>
            <w:pPr>
              <w:jc w:val="left"/>
              <w:rPr>
                <w:rFonts w:hint="eastAsia" w:ascii="宋体" w:hAnsi="宋体"/>
                <w:sz w:val="24"/>
              </w:rPr>
            </w:pPr>
            <w:r>
              <w:rPr>
                <w:rFonts w:hint="eastAsia" w:ascii="宋体" w:hAnsi="宋体"/>
                <w:sz w:val="24"/>
              </w:rPr>
              <w:t>付款至</w:t>
            </w:r>
            <w:r>
              <w:rPr>
                <w:rFonts w:ascii="宋体" w:hAnsi="宋体"/>
                <w:sz w:val="24"/>
              </w:rPr>
              <w:t>合同金额的</w:t>
            </w:r>
            <w:r>
              <w:rPr>
                <w:rFonts w:hint="eastAsia" w:ascii="宋体" w:hAnsi="宋体"/>
                <w:sz w:val="24"/>
              </w:rPr>
              <w:t>7</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6" w:type="pct"/>
            <w:vAlign w:val="center"/>
          </w:tcPr>
          <w:p>
            <w:pPr>
              <w:jc w:val="center"/>
              <w:rPr>
                <w:rFonts w:hint="eastAsia" w:ascii="宋体" w:hAnsi="宋体"/>
                <w:sz w:val="24"/>
              </w:rPr>
            </w:pPr>
            <w:r>
              <w:rPr>
                <w:rFonts w:hint="eastAsia" w:ascii="宋体" w:hAnsi="宋体"/>
                <w:sz w:val="24"/>
              </w:rPr>
              <w:t>3</w:t>
            </w:r>
          </w:p>
        </w:tc>
        <w:tc>
          <w:tcPr>
            <w:tcW w:w="622" w:type="pct"/>
            <w:vAlign w:val="center"/>
          </w:tcPr>
          <w:p>
            <w:pPr>
              <w:jc w:val="center"/>
              <w:rPr>
                <w:rFonts w:hint="eastAsia" w:ascii="宋体" w:hAnsi="宋体"/>
                <w:sz w:val="24"/>
              </w:rPr>
            </w:pPr>
            <w:r>
              <w:rPr>
                <w:rFonts w:ascii="宋体" w:hAnsi="宋体"/>
                <w:sz w:val="24"/>
              </w:rPr>
              <w:t>尾</w:t>
            </w:r>
            <w:r>
              <w:rPr>
                <w:rFonts w:hint="eastAsia" w:ascii="宋体" w:hAnsi="宋体"/>
                <w:sz w:val="24"/>
              </w:rPr>
              <w:t xml:space="preserve">  </w:t>
            </w:r>
            <w:r>
              <w:rPr>
                <w:rFonts w:ascii="宋体" w:hAnsi="宋体"/>
                <w:sz w:val="24"/>
              </w:rPr>
              <w:t>款</w:t>
            </w:r>
          </w:p>
        </w:tc>
        <w:tc>
          <w:tcPr>
            <w:tcW w:w="2895" w:type="pct"/>
            <w:vAlign w:val="center"/>
          </w:tcPr>
          <w:p>
            <w:pPr>
              <w:rPr>
                <w:rFonts w:hint="eastAsia" w:ascii="宋体" w:hAnsi="宋体"/>
                <w:sz w:val="24"/>
              </w:rPr>
            </w:pPr>
            <w:r>
              <w:rPr>
                <w:rFonts w:hint="eastAsia" w:ascii="宋体" w:hAnsi="宋体"/>
                <w:sz w:val="24"/>
              </w:rPr>
              <w:t>维护期结束，供应商提交维护期总结报告并得到采购人书面确认后，采购人收到供应商出具的付款申请及相应金额经采购人认可的合法有效发票之日起20</w:t>
            </w:r>
            <w:r>
              <w:rPr>
                <w:rFonts w:ascii="宋体" w:hAnsi="宋体"/>
                <w:sz w:val="24"/>
              </w:rPr>
              <w:t>个工作日内</w:t>
            </w:r>
          </w:p>
        </w:tc>
        <w:tc>
          <w:tcPr>
            <w:tcW w:w="1087" w:type="pct"/>
            <w:vAlign w:val="center"/>
          </w:tcPr>
          <w:p>
            <w:pPr>
              <w:jc w:val="left"/>
              <w:rPr>
                <w:rFonts w:hint="eastAsia" w:ascii="宋体" w:hAnsi="宋体"/>
                <w:sz w:val="24"/>
              </w:rPr>
            </w:pPr>
            <w:r>
              <w:rPr>
                <w:rFonts w:hint="eastAsia" w:ascii="宋体" w:hAnsi="宋体"/>
                <w:sz w:val="24"/>
              </w:rPr>
              <w:t>付款至</w:t>
            </w:r>
            <w:r>
              <w:rPr>
                <w:rFonts w:ascii="宋体" w:hAnsi="宋体"/>
                <w:sz w:val="24"/>
              </w:rPr>
              <w:t>合同金额的</w:t>
            </w:r>
            <w:r>
              <w:rPr>
                <w:rFonts w:hint="eastAsia" w:ascii="宋体" w:hAnsi="宋体"/>
                <w:sz w:val="24"/>
              </w:rPr>
              <w:t>10</w:t>
            </w:r>
            <w:r>
              <w:rPr>
                <w:rFonts w:ascii="宋体" w:hAnsi="宋体"/>
                <w:sz w:val="24"/>
              </w:rPr>
              <w:t>0%</w:t>
            </w:r>
          </w:p>
        </w:tc>
      </w:tr>
    </w:tbl>
    <w:p>
      <w:pPr>
        <w:pStyle w:val="8"/>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17" w:name="_Toc32301"/>
      <w:bookmarkStart w:id="18" w:name="_Toc8242"/>
      <w:bookmarkStart w:id="19" w:name="_Toc29815"/>
      <w:r>
        <w:rPr>
          <w:rFonts w:hint="eastAsia" w:ascii="宋体" w:hAnsi="宋体" w:eastAsia="宋体"/>
          <w:b w:val="0"/>
          <w:bCs w:val="0"/>
          <w:sz w:val="24"/>
          <w:szCs w:val="24"/>
        </w:rPr>
        <w:t>十</w:t>
      </w:r>
      <w:r>
        <w:rPr>
          <w:rFonts w:ascii="宋体" w:hAnsi="宋体" w:eastAsia="宋体"/>
          <w:b w:val="0"/>
          <w:bCs w:val="0"/>
          <w:sz w:val="24"/>
          <w:szCs w:val="24"/>
        </w:rPr>
        <w:t>、履约验收方案</w:t>
      </w:r>
      <w:bookmarkEnd w:id="17"/>
      <w:bookmarkEnd w:id="18"/>
      <w:bookmarkEnd w:id="19"/>
    </w:p>
    <w:p>
      <w:pPr>
        <w:adjustRightInd w:val="0"/>
        <w:spacing w:line="360" w:lineRule="auto"/>
        <w:ind w:firstLine="480" w:firstLineChars="200"/>
        <w:textAlignment w:val="baseline"/>
        <w:rPr>
          <w:rFonts w:hint="eastAsia" w:ascii="宋体" w:hAnsi="宋体" w:cs="楷体_GB2312"/>
          <w:sz w:val="24"/>
        </w:rPr>
      </w:pPr>
      <w:r>
        <w:rPr>
          <w:rFonts w:hint="eastAsia" w:ascii="宋体" w:hAnsi="宋体" w:cs="楷体_GB2312"/>
          <w:sz w:val="24"/>
        </w:rPr>
        <w:t>（一）履约验收的主体、时间、程序</w:t>
      </w:r>
    </w:p>
    <w:p>
      <w:pPr>
        <w:widowControl/>
        <w:adjustRightInd w:val="0"/>
        <w:spacing w:line="360" w:lineRule="auto"/>
        <w:ind w:firstLine="480" w:firstLineChars="200"/>
        <w:jc w:val="left"/>
        <w:textAlignment w:val="baseline"/>
        <w:rPr>
          <w:rFonts w:hint="eastAsia" w:ascii="宋体" w:hAnsi="宋体"/>
          <w:sz w:val="24"/>
        </w:rPr>
      </w:pPr>
      <w:r>
        <w:rPr>
          <w:rFonts w:hint="eastAsia" w:ascii="宋体" w:hAnsi="宋体"/>
          <w:sz w:val="24"/>
        </w:rPr>
        <w:t>1</w:t>
      </w:r>
      <w:r>
        <w:rPr>
          <w:rFonts w:ascii="宋体" w:hAnsi="宋体"/>
          <w:sz w:val="24"/>
        </w:rPr>
        <w:t>.验收主体</w:t>
      </w:r>
    </w:p>
    <w:p>
      <w:pPr>
        <w:widowControl/>
        <w:adjustRightInd w:val="0"/>
        <w:spacing w:line="360" w:lineRule="auto"/>
        <w:ind w:firstLine="480" w:firstLineChars="200"/>
        <w:jc w:val="left"/>
        <w:textAlignment w:val="baseline"/>
        <w:rPr>
          <w:rFonts w:hint="eastAsia" w:ascii="宋体" w:hAnsi="宋体"/>
          <w:sz w:val="24"/>
        </w:rPr>
      </w:pPr>
      <w:r>
        <w:rPr>
          <w:rFonts w:ascii="宋体" w:hAnsi="宋体"/>
          <w:sz w:val="24"/>
        </w:rPr>
        <w:t>采购人组织验收。</w:t>
      </w:r>
    </w:p>
    <w:p>
      <w:pPr>
        <w:widowControl/>
        <w:adjustRightInd w:val="0"/>
        <w:spacing w:line="360" w:lineRule="auto"/>
        <w:ind w:firstLine="480" w:firstLineChars="200"/>
        <w:jc w:val="left"/>
        <w:textAlignment w:val="baseline"/>
        <w:rPr>
          <w:rFonts w:hint="eastAsia" w:ascii="宋体" w:hAnsi="宋体"/>
          <w:sz w:val="24"/>
        </w:rPr>
      </w:pPr>
      <w:r>
        <w:rPr>
          <w:rFonts w:hint="eastAsia" w:ascii="宋体" w:hAnsi="宋体"/>
          <w:sz w:val="24"/>
        </w:rPr>
        <w:t>2.验收</w:t>
      </w:r>
      <w:r>
        <w:rPr>
          <w:rFonts w:ascii="宋体" w:hAnsi="宋体"/>
          <w:sz w:val="24"/>
        </w:rPr>
        <w:t>时间</w:t>
      </w:r>
      <w:r>
        <w:rPr>
          <w:rFonts w:hint="eastAsia" w:ascii="宋体" w:hAnsi="宋体"/>
          <w:sz w:val="24"/>
        </w:rPr>
        <w:t>及程序</w:t>
      </w:r>
    </w:p>
    <w:p>
      <w:pPr>
        <w:widowControl/>
        <w:adjustRightInd w:val="0"/>
        <w:spacing w:line="360" w:lineRule="auto"/>
        <w:ind w:firstLine="480" w:firstLineChars="200"/>
        <w:jc w:val="left"/>
        <w:textAlignment w:val="baseline"/>
        <w:rPr>
          <w:rFonts w:hint="eastAsia" w:ascii="宋体" w:hAnsi="宋体" w:cs="仿宋_GB2312"/>
          <w:sz w:val="24"/>
        </w:rPr>
      </w:pPr>
      <w:r>
        <w:rPr>
          <w:rFonts w:hint="eastAsia" w:ascii="宋体" w:hAnsi="宋体" w:cs="仿宋_GB2312"/>
          <w:sz w:val="24"/>
        </w:rPr>
        <w:t>合版后系统投产上线完成并稳定运行满3个月，各项功能满足验收标准，进出口银行组织验收。</w:t>
      </w:r>
    </w:p>
    <w:p>
      <w:pPr>
        <w:widowControl/>
        <w:adjustRightInd w:val="0"/>
        <w:spacing w:line="360" w:lineRule="auto"/>
        <w:ind w:firstLine="480" w:firstLineChars="200"/>
        <w:jc w:val="left"/>
        <w:textAlignment w:val="baseline"/>
        <w:rPr>
          <w:rFonts w:hint="eastAsia" w:ascii="宋体" w:hAnsi="宋体" w:cs="仿宋_GB2312"/>
          <w:sz w:val="24"/>
        </w:rPr>
      </w:pPr>
      <w:r>
        <w:rPr>
          <w:rFonts w:hint="eastAsia" w:ascii="宋体" w:hAnsi="宋体" w:cs="仿宋_GB2312"/>
          <w:sz w:val="24"/>
        </w:rPr>
        <w:t>具备验收条件后，由供应商向采购人提出验收申请，采购人收到申请后，自行或授权第三方监理依照合同及本工作说明书对其工作进行验收评估，如验收评估中发现其工作存在瑕疵、问题或遗漏，供应商须按照采购人要求限时解决，解决后采购人再次进行验收。验收通过后，采购人出具验收报告。</w:t>
      </w:r>
    </w:p>
    <w:p>
      <w:pPr>
        <w:numPr>
          <w:ilvl w:val="0"/>
          <w:numId w:val="5"/>
        </w:numPr>
        <w:adjustRightInd w:val="0"/>
        <w:spacing w:line="360" w:lineRule="auto"/>
        <w:ind w:firstLine="480" w:firstLineChars="200"/>
        <w:textAlignment w:val="baseline"/>
        <w:rPr>
          <w:rFonts w:hint="eastAsia" w:ascii="宋体" w:hAnsi="宋体" w:cs="楷体_GB2312"/>
          <w:sz w:val="24"/>
        </w:rPr>
      </w:pPr>
      <w:r>
        <w:rPr>
          <w:rFonts w:hint="eastAsia" w:ascii="宋体" w:hAnsi="宋体" w:cs="楷体_GB2312"/>
          <w:sz w:val="24"/>
        </w:rPr>
        <w:t>履约验收内容和标准</w:t>
      </w:r>
    </w:p>
    <w:p>
      <w:pPr>
        <w:widowControl/>
        <w:adjustRightInd w:val="0"/>
        <w:spacing w:line="360" w:lineRule="auto"/>
        <w:ind w:firstLine="480" w:firstLineChars="200"/>
        <w:jc w:val="left"/>
        <w:textAlignment w:val="baseline"/>
        <w:rPr>
          <w:rFonts w:hint="eastAsia" w:ascii="宋体" w:hAnsi="宋体" w:cs="仿宋_GB2312"/>
          <w:sz w:val="24"/>
        </w:rPr>
      </w:pPr>
      <w:r>
        <w:rPr>
          <w:rFonts w:hint="eastAsia" w:ascii="宋体" w:hAnsi="宋体" w:cs="仿宋_GB2312"/>
          <w:sz w:val="24"/>
        </w:rPr>
        <w:t>供应商应严格按实施计划完成合版测试等内容，并确保项目总体目标。</w:t>
      </w:r>
    </w:p>
    <w:p>
      <w:pPr>
        <w:spacing w:line="360" w:lineRule="auto"/>
        <w:ind w:firstLine="640"/>
        <w:rPr>
          <w:rFonts w:hint="eastAsia" w:ascii="宋体" w:hAnsi="宋体" w:cs="仿宋_GB2312"/>
          <w:sz w:val="24"/>
        </w:rPr>
      </w:pPr>
      <w:r>
        <w:rPr>
          <w:rFonts w:hint="eastAsia" w:ascii="宋体" w:hAnsi="宋体" w:cs="仿宋_GB2312"/>
          <w:sz w:val="24"/>
        </w:rPr>
        <w:t>1.验收内容</w:t>
      </w:r>
    </w:p>
    <w:p>
      <w:pPr>
        <w:spacing w:line="360" w:lineRule="auto"/>
        <w:ind w:firstLine="640"/>
        <w:rPr>
          <w:rFonts w:hint="eastAsia" w:ascii="宋体" w:hAnsi="宋体" w:cs="仿宋_GB2312"/>
          <w:sz w:val="24"/>
        </w:rPr>
      </w:pPr>
      <w:r>
        <w:rPr>
          <w:rFonts w:hint="eastAsia" w:ascii="宋体" w:hAnsi="宋体" w:cs="仿宋_GB2312"/>
          <w:sz w:val="24"/>
        </w:rPr>
        <w:t>（1）交付件，包括文档资料、源代码等</w:t>
      </w:r>
    </w:p>
    <w:p>
      <w:pPr>
        <w:spacing w:line="360" w:lineRule="auto"/>
        <w:ind w:firstLine="640"/>
        <w:rPr>
          <w:rFonts w:hint="eastAsia" w:ascii="宋体" w:hAnsi="宋体" w:cs="仿宋_GB2312"/>
          <w:sz w:val="24"/>
        </w:rPr>
      </w:pPr>
      <w:r>
        <w:rPr>
          <w:rFonts w:hint="eastAsia" w:ascii="宋体" w:hAnsi="宋体" w:cs="仿宋_GB2312"/>
          <w:sz w:val="24"/>
        </w:rPr>
        <w:t>（2）合版后的物理子系统应用软件</w:t>
      </w:r>
    </w:p>
    <w:p>
      <w:pPr>
        <w:spacing w:line="360" w:lineRule="auto"/>
        <w:ind w:firstLine="640"/>
        <w:rPr>
          <w:rFonts w:hint="eastAsia" w:ascii="宋体" w:hAnsi="宋体" w:cs="仿宋_GB2312"/>
          <w:sz w:val="24"/>
        </w:rPr>
      </w:pPr>
      <w:r>
        <w:rPr>
          <w:rFonts w:hint="eastAsia" w:ascii="宋体" w:hAnsi="宋体" w:cs="仿宋_GB2312"/>
          <w:sz w:val="24"/>
        </w:rPr>
        <w:t>（3）以量化的SLA考核指标为依据，对供应商服务及项目完成情况进行量化评价</w:t>
      </w:r>
    </w:p>
    <w:p>
      <w:pPr>
        <w:spacing w:line="360" w:lineRule="auto"/>
        <w:ind w:firstLine="640"/>
        <w:rPr>
          <w:rFonts w:hint="eastAsia" w:ascii="宋体" w:hAnsi="宋体" w:cs="仿宋_GB2312"/>
          <w:sz w:val="24"/>
        </w:rPr>
      </w:pPr>
      <w:r>
        <w:rPr>
          <w:rFonts w:hint="eastAsia" w:ascii="宋体" w:hAnsi="宋体" w:cs="仿宋_GB2312"/>
          <w:sz w:val="24"/>
        </w:rPr>
        <w:t>2.验收标准</w:t>
      </w:r>
    </w:p>
    <w:p>
      <w:pPr>
        <w:spacing w:line="360" w:lineRule="auto"/>
        <w:ind w:firstLine="640"/>
        <w:rPr>
          <w:rFonts w:hint="eastAsia" w:ascii="宋体" w:hAnsi="宋体" w:cs="仿宋_GB2312"/>
          <w:sz w:val="24"/>
        </w:rPr>
      </w:pPr>
      <w:r>
        <w:rPr>
          <w:rFonts w:hint="eastAsia" w:ascii="宋体" w:hAnsi="宋体" w:cs="仿宋_GB2312"/>
          <w:sz w:val="24"/>
        </w:rPr>
        <w:t>（1）文档验收标准</w:t>
      </w:r>
    </w:p>
    <w:p>
      <w:pPr>
        <w:numPr>
          <w:ilvl w:val="0"/>
          <w:numId w:val="6"/>
        </w:numPr>
        <w:spacing w:line="360" w:lineRule="auto"/>
        <w:rPr>
          <w:rFonts w:hint="eastAsia" w:ascii="宋体" w:hAnsi="宋体" w:cs="仿宋_GB2312"/>
          <w:sz w:val="24"/>
        </w:rPr>
      </w:pPr>
      <w:r>
        <w:rPr>
          <w:rFonts w:hint="eastAsia" w:ascii="宋体" w:hAnsi="宋体" w:cs="仿宋_GB2312"/>
          <w:sz w:val="24"/>
        </w:rPr>
        <w:t>文档内容应包含对应工作阶段的所有工作任务的最终成果</w:t>
      </w:r>
    </w:p>
    <w:p>
      <w:pPr>
        <w:numPr>
          <w:ilvl w:val="0"/>
          <w:numId w:val="6"/>
        </w:numPr>
        <w:spacing w:line="360" w:lineRule="auto"/>
        <w:rPr>
          <w:rFonts w:hint="eastAsia" w:ascii="宋体" w:hAnsi="宋体" w:cs="仿宋_GB2312"/>
          <w:sz w:val="24"/>
        </w:rPr>
      </w:pPr>
      <w:r>
        <w:rPr>
          <w:rFonts w:hint="eastAsia" w:ascii="宋体" w:hAnsi="宋体" w:cs="仿宋_GB2312"/>
          <w:sz w:val="24"/>
        </w:rPr>
        <w:t>文档内容无重大分歧，进出口银行能够接受文档中的主要观点、认可文档中所体现的工作成果</w:t>
      </w:r>
    </w:p>
    <w:p>
      <w:pPr>
        <w:numPr>
          <w:ilvl w:val="0"/>
          <w:numId w:val="6"/>
        </w:numPr>
        <w:spacing w:line="360" w:lineRule="auto"/>
        <w:rPr>
          <w:rFonts w:hint="eastAsia" w:ascii="宋体" w:hAnsi="宋体" w:cs="仿宋_GB2312"/>
          <w:sz w:val="24"/>
        </w:rPr>
      </w:pPr>
      <w:r>
        <w:rPr>
          <w:rFonts w:hint="eastAsia" w:ascii="宋体" w:hAnsi="宋体" w:cs="仿宋_GB2312"/>
          <w:sz w:val="24"/>
        </w:rPr>
        <w:t>所有正式交付件表达清晰、内容完整，符合采购人要求。交付文档的描述不存在实质性的错误（包括不真实、遗漏、误差、以及对使用者可能产生误导的信息）；文字无重大或误导性错误</w:t>
      </w:r>
    </w:p>
    <w:p>
      <w:pPr>
        <w:numPr>
          <w:ilvl w:val="0"/>
          <w:numId w:val="6"/>
        </w:numPr>
        <w:spacing w:line="360" w:lineRule="auto"/>
        <w:rPr>
          <w:rFonts w:hint="eastAsia" w:ascii="宋体" w:hAnsi="宋体" w:cs="仿宋_GB2312"/>
          <w:sz w:val="24"/>
        </w:rPr>
      </w:pPr>
      <w:r>
        <w:rPr>
          <w:rFonts w:hint="eastAsia" w:ascii="宋体" w:hAnsi="宋体" w:cs="仿宋_GB2312"/>
          <w:sz w:val="24"/>
        </w:rPr>
        <w:t>文档交付齐备</w:t>
      </w:r>
    </w:p>
    <w:p>
      <w:pPr>
        <w:numPr>
          <w:ilvl w:val="0"/>
          <w:numId w:val="6"/>
        </w:numPr>
        <w:spacing w:line="360" w:lineRule="auto"/>
        <w:rPr>
          <w:rFonts w:hint="eastAsia" w:ascii="宋体" w:hAnsi="宋体" w:cs="仿宋_GB2312"/>
          <w:sz w:val="24"/>
        </w:rPr>
      </w:pPr>
      <w:r>
        <w:rPr>
          <w:rFonts w:hint="eastAsia" w:ascii="宋体" w:hAnsi="宋体" w:cs="仿宋_GB2312"/>
          <w:sz w:val="24"/>
        </w:rPr>
        <w:t>除特别指明的并经采购人同意的英文提交文档之外，要求提供中文文档</w:t>
      </w:r>
    </w:p>
    <w:p>
      <w:pPr>
        <w:numPr>
          <w:ilvl w:val="0"/>
          <w:numId w:val="6"/>
        </w:numPr>
        <w:spacing w:line="360" w:lineRule="auto"/>
        <w:rPr>
          <w:rFonts w:hint="eastAsia" w:ascii="宋体" w:hAnsi="宋体" w:cs="仿宋_GB2312"/>
          <w:sz w:val="24"/>
        </w:rPr>
      </w:pPr>
      <w:r>
        <w:rPr>
          <w:rFonts w:hint="eastAsia" w:ascii="宋体" w:hAnsi="宋体" w:cs="仿宋_GB2312"/>
          <w:sz w:val="24"/>
        </w:rPr>
        <w:t>提交项目全部交付件并通过采购人审核，在此基础上形成项目的《交付件交付情况一览表》，经过采购人核对认可</w:t>
      </w:r>
    </w:p>
    <w:p>
      <w:pPr>
        <w:spacing w:line="360" w:lineRule="auto"/>
        <w:ind w:firstLine="640"/>
        <w:rPr>
          <w:rFonts w:hint="eastAsia" w:ascii="宋体" w:hAnsi="宋体" w:cs="仿宋_GB2312"/>
          <w:sz w:val="24"/>
        </w:rPr>
      </w:pPr>
      <w:r>
        <w:rPr>
          <w:rFonts w:hint="eastAsia" w:ascii="宋体" w:hAnsi="宋体" w:cs="仿宋_GB2312"/>
          <w:sz w:val="24"/>
        </w:rPr>
        <w:t>（2）系统验收标准</w:t>
      </w:r>
    </w:p>
    <w:p>
      <w:pPr>
        <w:numPr>
          <w:ilvl w:val="0"/>
          <w:numId w:val="6"/>
        </w:numPr>
        <w:spacing w:line="360" w:lineRule="auto"/>
        <w:rPr>
          <w:rFonts w:hint="eastAsia" w:ascii="宋体" w:hAnsi="宋体" w:cs="仿宋_GB2312"/>
          <w:sz w:val="24"/>
        </w:rPr>
      </w:pPr>
      <w:r>
        <w:rPr>
          <w:rFonts w:hint="eastAsia" w:ascii="宋体" w:hAnsi="宋体" w:cs="仿宋_GB2312"/>
          <w:sz w:val="24"/>
        </w:rPr>
        <w:t>系统符合项目工作说明书的要求</w:t>
      </w:r>
    </w:p>
    <w:p>
      <w:pPr>
        <w:numPr>
          <w:ilvl w:val="0"/>
          <w:numId w:val="6"/>
        </w:numPr>
        <w:spacing w:line="360" w:lineRule="auto"/>
        <w:rPr>
          <w:rFonts w:hint="eastAsia" w:ascii="宋体" w:hAnsi="宋体" w:cs="仿宋_GB2312"/>
          <w:sz w:val="24"/>
        </w:rPr>
      </w:pPr>
      <w:r>
        <w:rPr>
          <w:rFonts w:hint="eastAsia" w:ascii="宋体" w:hAnsi="宋体" w:cs="仿宋_GB2312"/>
          <w:sz w:val="24"/>
        </w:rPr>
        <w:t>新增系统的安全等级保护基本要求满足国家标准和监管要求中对本系统的相应要求</w:t>
      </w:r>
    </w:p>
    <w:p>
      <w:pPr>
        <w:numPr>
          <w:ilvl w:val="0"/>
          <w:numId w:val="6"/>
        </w:numPr>
        <w:spacing w:line="360" w:lineRule="auto"/>
        <w:rPr>
          <w:rFonts w:hint="eastAsia" w:ascii="宋体" w:hAnsi="宋体" w:cs="仿宋_GB2312"/>
          <w:sz w:val="24"/>
        </w:rPr>
      </w:pPr>
      <w:r>
        <w:rPr>
          <w:rFonts w:hint="eastAsia" w:ascii="宋体" w:hAnsi="宋体" w:cs="仿宋_GB2312"/>
          <w:sz w:val="24"/>
        </w:rPr>
        <w:t>系统通过用户接收测试，若有遗留问题须在本项目最终验收启动前解决</w:t>
      </w:r>
    </w:p>
    <w:p>
      <w:pPr>
        <w:pStyle w:val="9"/>
        <w:numPr>
          <w:ilvl w:val="0"/>
          <w:numId w:val="7"/>
        </w:numPr>
        <w:spacing w:after="0" w:line="360" w:lineRule="auto"/>
        <w:ind w:firstLineChars="0"/>
        <w:rPr>
          <w:rFonts w:hint="eastAsia" w:ascii="宋体" w:hAnsi="宋体" w:cs="仿宋_GB2312"/>
          <w:sz w:val="24"/>
        </w:rPr>
      </w:pPr>
      <w:r>
        <w:rPr>
          <w:rFonts w:hint="eastAsia" w:ascii="宋体" w:hAnsi="宋体" w:cs="仿宋_GB2312"/>
          <w:sz w:val="24"/>
        </w:rPr>
        <w:t>SLA指标考核</w:t>
      </w:r>
    </w:p>
    <w:p>
      <w:pPr>
        <w:pStyle w:val="13"/>
        <w:widowControl/>
        <w:spacing w:afterLines="0"/>
        <w:ind w:firstLine="480" w:firstLineChars="200"/>
        <w:rPr>
          <w:rFonts w:hint="eastAsia" w:ascii="宋体" w:hAnsi="宋体" w:cs="Times New Roman"/>
        </w:rPr>
      </w:pPr>
      <w:r>
        <w:rPr>
          <w:rFonts w:hint="eastAsia" w:ascii="宋体" w:hAnsi="宋体" w:cs="Times New Roman"/>
        </w:rPr>
        <w:t>本项目发起验收时，进行SLA考核。指标项如下：</w:t>
      </w:r>
    </w:p>
    <w:tbl>
      <w:tblPr>
        <w:tblStyle w:val="11"/>
        <w:tblW w:w="4809"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529"/>
        <w:gridCol w:w="2199"/>
        <w:gridCol w:w="465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widowControl/>
              <w:jc w:val="center"/>
              <w:rPr>
                <w:rFonts w:hint="eastAsia" w:ascii="宋体" w:hAnsi="宋体" w:cs="仿宋_GB2312"/>
                <w:b/>
                <w:bCs/>
                <w:kern w:val="0"/>
                <w:sz w:val="24"/>
                <w:lang w:val="en-GB"/>
              </w:rPr>
            </w:pPr>
            <w:r>
              <w:rPr>
                <w:rFonts w:hint="eastAsia" w:ascii="宋体" w:hAnsi="宋体" w:cs="仿宋_GB2312"/>
                <w:b/>
                <w:bCs/>
                <w:kern w:val="0"/>
                <w:sz w:val="24"/>
                <w:lang w:val="en-GB"/>
              </w:rPr>
              <w:t>序号</w:t>
            </w:r>
          </w:p>
        </w:tc>
        <w:tc>
          <w:tcPr>
            <w:tcW w:w="773" w:type="pct"/>
            <w:vAlign w:val="center"/>
          </w:tcPr>
          <w:p>
            <w:pPr>
              <w:widowControl/>
              <w:jc w:val="center"/>
              <w:rPr>
                <w:rFonts w:hint="eastAsia" w:ascii="宋体" w:hAnsi="宋体" w:cs="仿宋_GB2312"/>
                <w:b/>
                <w:bCs/>
                <w:kern w:val="0"/>
                <w:sz w:val="24"/>
                <w:lang w:val="en-GB"/>
              </w:rPr>
            </w:pPr>
            <w:r>
              <w:rPr>
                <w:rFonts w:hint="eastAsia" w:ascii="宋体" w:hAnsi="宋体" w:cs="仿宋_GB2312"/>
                <w:b/>
                <w:bCs/>
                <w:kern w:val="0"/>
                <w:sz w:val="24"/>
                <w:lang w:val="en-GB"/>
              </w:rPr>
              <w:t>指标名称</w:t>
            </w:r>
          </w:p>
        </w:tc>
        <w:tc>
          <w:tcPr>
            <w:tcW w:w="1112" w:type="pct"/>
            <w:vAlign w:val="center"/>
          </w:tcPr>
          <w:p>
            <w:pPr>
              <w:widowControl/>
              <w:jc w:val="center"/>
              <w:rPr>
                <w:rFonts w:hint="eastAsia" w:ascii="宋体" w:hAnsi="宋体" w:cs="仿宋_GB2312"/>
                <w:b/>
                <w:bCs/>
                <w:kern w:val="0"/>
                <w:sz w:val="24"/>
                <w:lang w:val="en-GB"/>
              </w:rPr>
            </w:pPr>
            <w:r>
              <w:rPr>
                <w:rFonts w:hint="eastAsia" w:ascii="宋体" w:hAnsi="宋体" w:cs="仿宋_GB2312"/>
                <w:b/>
                <w:bCs/>
                <w:kern w:val="0"/>
                <w:sz w:val="24"/>
                <w:lang w:val="en-GB"/>
              </w:rPr>
              <w:t>量化标准</w:t>
            </w:r>
          </w:p>
        </w:tc>
        <w:tc>
          <w:tcPr>
            <w:tcW w:w="2354" w:type="pct"/>
            <w:vAlign w:val="center"/>
          </w:tcPr>
          <w:p>
            <w:pPr>
              <w:widowControl/>
              <w:jc w:val="center"/>
              <w:rPr>
                <w:rFonts w:hint="eastAsia" w:ascii="宋体" w:hAnsi="宋体" w:cs="仿宋_GB2312"/>
                <w:b/>
                <w:bCs/>
                <w:kern w:val="0"/>
                <w:sz w:val="24"/>
                <w:lang w:val="en-GB"/>
              </w:rPr>
            </w:pPr>
            <w:r>
              <w:rPr>
                <w:rFonts w:hint="eastAsia" w:ascii="宋体" w:hAnsi="宋体" w:cs="仿宋_GB2312"/>
                <w:b/>
                <w:bCs/>
                <w:kern w:val="0"/>
                <w:sz w:val="24"/>
                <w:lang w:val="en-GB"/>
              </w:rPr>
              <w:t>评估方式</w:t>
            </w:r>
          </w:p>
          <w:p>
            <w:pPr>
              <w:widowControl/>
              <w:ind w:left="902" w:hanging="482"/>
              <w:jc w:val="center"/>
              <w:rPr>
                <w:rFonts w:hint="eastAsia" w:ascii="宋体" w:hAnsi="宋体" w:cs="仿宋_GB2312"/>
                <w:b/>
                <w:bCs/>
                <w:kern w:val="0"/>
                <w:sz w:val="24"/>
                <w:lang w:val="en-GB"/>
              </w:rPr>
            </w:pPr>
            <w:r>
              <w:rPr>
                <w:rFonts w:hint="eastAsia" w:ascii="宋体" w:hAnsi="宋体" w:cs="仿宋_GB2312"/>
                <w:b/>
                <w:bCs/>
                <w:kern w:val="0"/>
                <w:sz w:val="24"/>
                <w:lang w:val="en-GB"/>
              </w:rPr>
              <w:t>（优100-良80-中60-差0）</w:t>
            </w:r>
          </w:p>
        </w:tc>
        <w:tc>
          <w:tcPr>
            <w:tcW w:w="387" w:type="pct"/>
            <w:vAlign w:val="center"/>
          </w:tcPr>
          <w:p>
            <w:pPr>
              <w:widowControl/>
              <w:jc w:val="center"/>
              <w:rPr>
                <w:rFonts w:hint="eastAsia" w:ascii="宋体" w:hAnsi="宋体" w:cs="仿宋_GB2312"/>
                <w:b/>
                <w:bCs/>
                <w:kern w:val="0"/>
                <w:sz w:val="24"/>
                <w:lang w:val="en-GB"/>
              </w:rPr>
            </w:pPr>
            <w:r>
              <w:rPr>
                <w:rFonts w:hint="eastAsia" w:ascii="宋体" w:hAnsi="宋体" w:cs="仿宋_GB2312"/>
                <w:b/>
                <w:bCs/>
                <w:kern w:val="0"/>
                <w:sz w:val="24"/>
                <w:lang w:val="en-GB"/>
              </w:rPr>
              <w:t>指标占比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1</w:t>
            </w:r>
          </w:p>
        </w:tc>
        <w:tc>
          <w:tcPr>
            <w:tcW w:w="773"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本项目进度及计划执行率</w:t>
            </w:r>
          </w:p>
        </w:tc>
        <w:tc>
          <w:tcPr>
            <w:tcW w:w="1112"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各阶段累计工作延后完成天数/各阶段累计计划天数</w:t>
            </w:r>
          </w:p>
        </w:tc>
        <w:tc>
          <w:tcPr>
            <w:tcW w:w="2354" w:type="pct"/>
            <w:vAlign w:val="center"/>
          </w:tcPr>
          <w:p>
            <w:pPr>
              <w:widowControl/>
              <w:jc w:val="left"/>
              <w:rPr>
                <w:rFonts w:hint="eastAsia" w:ascii="宋体" w:hAnsi="宋体" w:cs="仿宋_GB2312"/>
                <w:kern w:val="0"/>
                <w:sz w:val="24"/>
                <w:lang w:val="en-GB"/>
              </w:rPr>
            </w:pPr>
            <w:r>
              <w:rPr>
                <w:rFonts w:hint="eastAsia" w:ascii="宋体" w:hAnsi="宋体" w:cs="仿宋_GB2312"/>
                <w:kern w:val="0"/>
                <w:sz w:val="24"/>
                <w:lang w:val="en-GB"/>
              </w:rPr>
              <w:t>1. 计划延误率</w:t>
            </w:r>
            <w:r>
              <w:rPr>
                <w:rFonts w:hint="eastAsia" w:ascii="宋体" w:hAnsi="宋体" w:cs="仿宋_GB2312"/>
                <w:kern w:val="0"/>
                <w:sz w:val="24"/>
              </w:rPr>
              <w:t>为</w:t>
            </w:r>
            <w:r>
              <w:rPr>
                <w:rFonts w:hint="eastAsia" w:ascii="宋体" w:hAnsi="宋体" w:cs="仿宋_GB2312"/>
                <w:kern w:val="0"/>
                <w:sz w:val="24"/>
                <w:lang w:val="en-GB"/>
              </w:rPr>
              <w:t>≤</w:t>
            </w:r>
            <w:r>
              <w:rPr>
                <w:rFonts w:hint="eastAsia" w:ascii="宋体" w:hAnsi="宋体" w:cs="仿宋_GB2312"/>
                <w:kern w:val="0"/>
                <w:sz w:val="24"/>
              </w:rPr>
              <w:t>0%</w:t>
            </w:r>
            <w:r>
              <w:rPr>
                <w:rFonts w:hint="eastAsia" w:ascii="宋体" w:hAnsi="宋体" w:cs="仿宋_GB2312"/>
                <w:kern w:val="0"/>
                <w:sz w:val="24"/>
                <w:lang w:val="en-GB"/>
              </w:rPr>
              <w:t xml:space="preserve">      优</w:t>
            </w:r>
          </w:p>
          <w:p>
            <w:pPr>
              <w:widowControl/>
              <w:jc w:val="left"/>
              <w:rPr>
                <w:rFonts w:hint="eastAsia" w:ascii="宋体" w:hAnsi="宋体" w:cs="仿宋_GB2312"/>
                <w:kern w:val="0"/>
                <w:sz w:val="24"/>
                <w:lang w:val="en-GB"/>
              </w:rPr>
            </w:pPr>
            <w:r>
              <w:rPr>
                <w:rFonts w:hint="eastAsia" w:ascii="宋体" w:hAnsi="宋体" w:cs="仿宋_GB2312"/>
                <w:kern w:val="0"/>
                <w:sz w:val="24"/>
                <w:lang w:val="en-GB"/>
              </w:rPr>
              <w:t xml:space="preserve">2. </w:t>
            </w:r>
            <w:r>
              <w:rPr>
                <w:rFonts w:hint="eastAsia" w:ascii="宋体" w:hAnsi="宋体" w:cs="仿宋_GB2312"/>
                <w:kern w:val="0"/>
                <w:sz w:val="24"/>
              </w:rPr>
              <w:t>0</w:t>
            </w:r>
            <w:r>
              <w:rPr>
                <w:rFonts w:hint="eastAsia" w:ascii="宋体" w:hAnsi="宋体" w:cs="仿宋_GB2312"/>
                <w:kern w:val="0"/>
                <w:sz w:val="24"/>
                <w:lang w:val="en-GB"/>
              </w:rPr>
              <w:t>%＜计划延误率≤</w:t>
            </w:r>
            <w:r>
              <w:rPr>
                <w:rFonts w:hint="eastAsia" w:ascii="宋体" w:hAnsi="宋体" w:cs="仿宋_GB2312"/>
                <w:kern w:val="0"/>
                <w:sz w:val="24"/>
              </w:rPr>
              <w:t>3</w:t>
            </w:r>
            <w:r>
              <w:rPr>
                <w:rFonts w:hint="eastAsia" w:ascii="宋体" w:hAnsi="宋体" w:cs="仿宋_GB2312"/>
                <w:kern w:val="0"/>
                <w:sz w:val="24"/>
                <w:lang w:val="en-GB"/>
              </w:rPr>
              <w:t xml:space="preserve">%   </w:t>
            </w:r>
            <w:r>
              <w:rPr>
                <w:rFonts w:hint="eastAsia" w:ascii="宋体" w:hAnsi="宋体" w:cs="仿宋_GB2312"/>
                <w:kern w:val="0"/>
                <w:sz w:val="24"/>
              </w:rPr>
              <w:t xml:space="preserve"> </w:t>
            </w:r>
            <w:r>
              <w:rPr>
                <w:rFonts w:hint="eastAsia" w:ascii="宋体" w:hAnsi="宋体" w:cs="仿宋_GB2312"/>
                <w:kern w:val="0"/>
                <w:sz w:val="24"/>
                <w:lang w:val="en-GB"/>
              </w:rPr>
              <w:t>良</w:t>
            </w:r>
          </w:p>
          <w:p>
            <w:pPr>
              <w:widowControl/>
              <w:jc w:val="left"/>
              <w:rPr>
                <w:rFonts w:hint="eastAsia" w:ascii="宋体" w:hAnsi="宋体" w:cs="仿宋_GB2312"/>
                <w:kern w:val="0"/>
                <w:sz w:val="24"/>
                <w:lang w:val="en-GB"/>
              </w:rPr>
            </w:pPr>
            <w:r>
              <w:rPr>
                <w:rFonts w:hint="eastAsia" w:ascii="宋体" w:hAnsi="宋体" w:cs="仿宋_GB2312"/>
                <w:kern w:val="0"/>
                <w:sz w:val="24"/>
                <w:lang w:val="en-GB"/>
              </w:rPr>
              <w:t>3.</w:t>
            </w:r>
            <w:r>
              <w:rPr>
                <w:rFonts w:hint="eastAsia" w:ascii="宋体" w:hAnsi="宋体" w:cs="仿宋_GB2312"/>
                <w:kern w:val="0"/>
                <w:sz w:val="24"/>
              </w:rPr>
              <w:t xml:space="preserve"> 3</w:t>
            </w:r>
            <w:r>
              <w:rPr>
                <w:rFonts w:hint="eastAsia" w:ascii="宋体" w:hAnsi="宋体" w:cs="仿宋_GB2312"/>
                <w:kern w:val="0"/>
                <w:sz w:val="24"/>
                <w:lang w:val="en-GB"/>
              </w:rPr>
              <w:t>%＜计划延误率≤</w:t>
            </w:r>
            <w:r>
              <w:rPr>
                <w:rFonts w:hint="eastAsia" w:ascii="宋体" w:hAnsi="宋体" w:cs="仿宋_GB2312"/>
                <w:kern w:val="0"/>
                <w:sz w:val="24"/>
              </w:rPr>
              <w:t>5</w:t>
            </w:r>
            <w:r>
              <w:rPr>
                <w:rFonts w:hint="eastAsia" w:ascii="宋体" w:hAnsi="宋体" w:cs="仿宋_GB2312"/>
                <w:kern w:val="0"/>
                <w:sz w:val="24"/>
                <w:lang w:val="en-GB"/>
              </w:rPr>
              <w:t xml:space="preserve">%  </w:t>
            </w:r>
            <w:r>
              <w:rPr>
                <w:rFonts w:hint="eastAsia" w:ascii="宋体" w:hAnsi="宋体" w:cs="仿宋_GB2312"/>
                <w:kern w:val="0"/>
                <w:sz w:val="24"/>
              </w:rPr>
              <w:t xml:space="preserve">  </w:t>
            </w:r>
            <w:r>
              <w:rPr>
                <w:rFonts w:hint="eastAsia" w:ascii="宋体" w:hAnsi="宋体" w:cs="仿宋_GB2312"/>
                <w:kern w:val="0"/>
                <w:sz w:val="24"/>
                <w:lang w:val="en-GB"/>
              </w:rPr>
              <w:t>中</w:t>
            </w:r>
          </w:p>
          <w:p>
            <w:pPr>
              <w:widowControl/>
              <w:jc w:val="left"/>
              <w:rPr>
                <w:rFonts w:hint="eastAsia" w:ascii="宋体" w:hAnsi="宋体" w:cs="仿宋_GB2312"/>
                <w:kern w:val="0"/>
                <w:sz w:val="24"/>
                <w:lang w:val="en-GB"/>
              </w:rPr>
            </w:pPr>
            <w:r>
              <w:rPr>
                <w:rFonts w:hint="eastAsia" w:ascii="宋体" w:hAnsi="宋体" w:cs="仿宋_GB2312"/>
                <w:kern w:val="0"/>
                <w:sz w:val="24"/>
                <w:lang w:val="en-GB"/>
              </w:rPr>
              <w:t>4.</w:t>
            </w:r>
            <w:r>
              <w:rPr>
                <w:rFonts w:hint="eastAsia" w:ascii="宋体" w:hAnsi="宋体" w:cs="仿宋_GB2312"/>
                <w:kern w:val="0"/>
                <w:sz w:val="24"/>
              </w:rPr>
              <w:t xml:space="preserve"> 5</w:t>
            </w:r>
            <w:r>
              <w:rPr>
                <w:rFonts w:hint="eastAsia" w:ascii="宋体" w:hAnsi="宋体" w:cs="仿宋_GB2312"/>
                <w:kern w:val="0"/>
                <w:sz w:val="24"/>
                <w:lang w:val="en-GB"/>
              </w:rPr>
              <w:t xml:space="preserve">%＜计划延误率       </w:t>
            </w:r>
            <w:r>
              <w:rPr>
                <w:rFonts w:hint="eastAsia" w:ascii="宋体" w:hAnsi="宋体" w:cs="仿宋_GB2312"/>
                <w:kern w:val="0"/>
                <w:sz w:val="24"/>
              </w:rPr>
              <w:t xml:space="preserve"> </w:t>
            </w:r>
            <w:r>
              <w:rPr>
                <w:rFonts w:hint="eastAsia" w:ascii="宋体" w:hAnsi="宋体" w:cs="仿宋_GB2312"/>
                <w:kern w:val="0"/>
                <w:sz w:val="24"/>
                <w:lang w:val="en-GB"/>
              </w:rPr>
              <w:t>差</w:t>
            </w:r>
          </w:p>
        </w:tc>
        <w:tc>
          <w:tcPr>
            <w:tcW w:w="387"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rPr>
              <w:t>4</w:t>
            </w:r>
            <w:r>
              <w:rPr>
                <w:rFonts w:hint="eastAsia" w:ascii="宋体" w:hAnsi="宋体" w:cs="仿宋_GB2312"/>
                <w:kern w:val="0"/>
                <w:sz w:val="24"/>
                <w:lang w:val="de-D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2</w:t>
            </w:r>
          </w:p>
        </w:tc>
        <w:tc>
          <w:tcPr>
            <w:tcW w:w="773"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项目投产后问题数量</w:t>
            </w:r>
          </w:p>
        </w:tc>
        <w:tc>
          <w:tcPr>
            <w:tcW w:w="1112"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投产后至验收时累计问题数</w:t>
            </w:r>
          </w:p>
        </w:tc>
        <w:tc>
          <w:tcPr>
            <w:tcW w:w="2354" w:type="pct"/>
            <w:vAlign w:val="center"/>
          </w:tcPr>
          <w:p>
            <w:pPr>
              <w:widowControl/>
              <w:jc w:val="left"/>
              <w:rPr>
                <w:rFonts w:hint="eastAsia" w:ascii="宋体" w:hAnsi="宋体" w:cs="仿宋_GB2312"/>
                <w:kern w:val="0"/>
                <w:sz w:val="24"/>
                <w:lang w:val="de-DE"/>
              </w:rPr>
            </w:pPr>
            <w:r>
              <w:rPr>
                <w:rFonts w:hint="eastAsia" w:ascii="宋体" w:hAnsi="宋体" w:cs="仿宋_GB2312"/>
                <w:kern w:val="0"/>
                <w:sz w:val="24"/>
                <w:lang w:val="de-DE"/>
              </w:rPr>
              <w:t>1.每100功能点每3月发现问题数&lt;5   优</w:t>
            </w:r>
          </w:p>
          <w:p>
            <w:pPr>
              <w:widowControl/>
              <w:jc w:val="left"/>
              <w:rPr>
                <w:rFonts w:hint="eastAsia" w:ascii="宋体" w:hAnsi="宋体" w:cs="仿宋_GB2312"/>
                <w:kern w:val="0"/>
                <w:sz w:val="24"/>
                <w:lang w:val="de-DE"/>
              </w:rPr>
            </w:pPr>
            <w:r>
              <w:rPr>
                <w:rFonts w:hint="eastAsia" w:ascii="宋体" w:hAnsi="宋体" w:cs="仿宋_GB2312"/>
                <w:kern w:val="0"/>
                <w:sz w:val="24"/>
                <w:lang w:val="de-DE"/>
              </w:rPr>
              <w:t>2.每100功能点每3月发现问题数&lt;=10 良</w:t>
            </w:r>
          </w:p>
          <w:p>
            <w:pPr>
              <w:widowControl/>
              <w:jc w:val="left"/>
              <w:rPr>
                <w:rFonts w:hint="eastAsia" w:ascii="宋体" w:hAnsi="宋体" w:cs="仿宋_GB2312"/>
                <w:kern w:val="0"/>
                <w:sz w:val="24"/>
                <w:lang w:val="de-DE"/>
              </w:rPr>
            </w:pPr>
            <w:r>
              <w:rPr>
                <w:rFonts w:hint="eastAsia" w:ascii="宋体" w:hAnsi="宋体" w:cs="仿宋_GB2312"/>
                <w:kern w:val="0"/>
                <w:sz w:val="24"/>
                <w:lang w:val="de-DE"/>
              </w:rPr>
              <w:t>3.每100功能点每3月发现问题数&lt;=15 中</w:t>
            </w:r>
          </w:p>
          <w:p>
            <w:pPr>
              <w:widowControl/>
              <w:jc w:val="left"/>
              <w:rPr>
                <w:rFonts w:hint="eastAsia" w:ascii="宋体" w:hAnsi="宋体" w:cs="仿宋_GB2312"/>
                <w:kern w:val="0"/>
                <w:sz w:val="24"/>
                <w:lang w:val="de-DE"/>
              </w:rPr>
            </w:pPr>
            <w:r>
              <w:rPr>
                <w:rFonts w:hint="eastAsia" w:ascii="宋体" w:hAnsi="宋体" w:cs="仿宋_GB2312"/>
                <w:kern w:val="0"/>
                <w:sz w:val="24"/>
                <w:lang w:val="de-DE"/>
              </w:rPr>
              <w:t>4.每100功能点每3月发现问题数&gt;15  差</w:t>
            </w:r>
          </w:p>
        </w:tc>
        <w:tc>
          <w:tcPr>
            <w:tcW w:w="387"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3</w:t>
            </w:r>
          </w:p>
        </w:tc>
        <w:tc>
          <w:tcPr>
            <w:tcW w:w="773"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工单未及时处理率</w:t>
            </w:r>
          </w:p>
        </w:tc>
        <w:tc>
          <w:tcPr>
            <w:tcW w:w="1112"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工单处理时长超一个月工单数量/总工单数量</w:t>
            </w:r>
          </w:p>
        </w:tc>
        <w:tc>
          <w:tcPr>
            <w:tcW w:w="2354" w:type="pct"/>
            <w:vAlign w:val="center"/>
          </w:tcPr>
          <w:p>
            <w:pPr>
              <w:widowControl/>
              <w:jc w:val="left"/>
              <w:rPr>
                <w:rFonts w:hint="eastAsia" w:ascii="宋体" w:hAnsi="宋体" w:cs="仿宋_GB2312"/>
                <w:kern w:val="0"/>
                <w:sz w:val="24"/>
                <w:lang w:val="de-DE"/>
              </w:rPr>
            </w:pPr>
            <w:r>
              <w:rPr>
                <w:rFonts w:hint="eastAsia" w:ascii="宋体" w:hAnsi="宋体" w:cs="仿宋_GB2312"/>
                <w:kern w:val="0"/>
                <w:sz w:val="24"/>
                <w:lang w:val="de-DE"/>
              </w:rPr>
              <w:t>1. 工单未及时处理率≤0%     优</w:t>
            </w:r>
          </w:p>
          <w:p>
            <w:pPr>
              <w:widowControl/>
              <w:jc w:val="left"/>
              <w:rPr>
                <w:rFonts w:hint="eastAsia" w:ascii="宋体" w:hAnsi="宋体" w:cs="仿宋_GB2312"/>
                <w:kern w:val="0"/>
                <w:sz w:val="24"/>
                <w:lang w:val="de-DE"/>
              </w:rPr>
            </w:pPr>
            <w:r>
              <w:rPr>
                <w:rFonts w:hint="eastAsia" w:ascii="宋体" w:hAnsi="宋体" w:cs="仿宋_GB2312"/>
                <w:kern w:val="0"/>
                <w:sz w:val="24"/>
                <w:lang w:val="de-DE"/>
              </w:rPr>
              <w:t>2. 0%&lt;工单未及时处理率≤5%  良</w:t>
            </w:r>
          </w:p>
          <w:p>
            <w:pPr>
              <w:widowControl/>
              <w:jc w:val="left"/>
              <w:rPr>
                <w:rFonts w:hint="eastAsia" w:ascii="宋体" w:hAnsi="宋体" w:cs="仿宋_GB2312"/>
                <w:kern w:val="0"/>
                <w:sz w:val="24"/>
                <w:lang w:val="de-DE"/>
              </w:rPr>
            </w:pPr>
            <w:r>
              <w:rPr>
                <w:rFonts w:hint="eastAsia" w:ascii="宋体" w:hAnsi="宋体" w:cs="仿宋_GB2312"/>
                <w:kern w:val="0"/>
                <w:sz w:val="24"/>
                <w:lang w:val="de-DE"/>
              </w:rPr>
              <w:t>3. 5%&lt;工单未及时处理率≤15% 中</w:t>
            </w:r>
          </w:p>
          <w:p>
            <w:pPr>
              <w:widowControl/>
              <w:jc w:val="left"/>
              <w:rPr>
                <w:rFonts w:hint="eastAsia" w:ascii="宋体" w:hAnsi="宋体" w:cs="仿宋_GB2312"/>
                <w:kern w:val="0"/>
                <w:sz w:val="24"/>
                <w:lang w:val="de-DE"/>
              </w:rPr>
            </w:pPr>
            <w:r>
              <w:rPr>
                <w:rFonts w:hint="eastAsia" w:ascii="宋体" w:hAnsi="宋体" w:cs="仿宋_GB2312"/>
                <w:kern w:val="0"/>
                <w:sz w:val="24"/>
                <w:lang w:val="de-DE"/>
              </w:rPr>
              <w:t>4. 15%&lt;工单未及时处理率     差</w:t>
            </w:r>
          </w:p>
        </w:tc>
        <w:tc>
          <w:tcPr>
            <w:tcW w:w="387"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4</w:t>
            </w:r>
          </w:p>
        </w:tc>
        <w:tc>
          <w:tcPr>
            <w:tcW w:w="773"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异常考勤率</w:t>
            </w:r>
          </w:p>
        </w:tc>
        <w:tc>
          <w:tcPr>
            <w:tcW w:w="1112"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驻场期间异常考勤天数/应出勤天数</w:t>
            </w:r>
          </w:p>
        </w:tc>
        <w:tc>
          <w:tcPr>
            <w:tcW w:w="2354" w:type="pct"/>
            <w:vAlign w:val="center"/>
          </w:tcPr>
          <w:p>
            <w:pPr>
              <w:widowControl/>
              <w:jc w:val="left"/>
              <w:rPr>
                <w:rFonts w:hint="eastAsia" w:ascii="宋体" w:hAnsi="宋体" w:cs="仿宋_GB2312"/>
                <w:kern w:val="0"/>
                <w:sz w:val="24"/>
                <w:lang w:val="de-DE"/>
              </w:rPr>
            </w:pPr>
            <w:r>
              <w:rPr>
                <w:rFonts w:hint="eastAsia" w:ascii="宋体" w:hAnsi="宋体" w:cs="仿宋_GB2312"/>
                <w:kern w:val="0"/>
                <w:sz w:val="24"/>
                <w:lang w:val="de-DE"/>
              </w:rPr>
              <w:t>1. 异常考勤率≤5%        优</w:t>
            </w:r>
          </w:p>
          <w:p>
            <w:pPr>
              <w:widowControl/>
              <w:jc w:val="left"/>
              <w:rPr>
                <w:rFonts w:hint="eastAsia" w:ascii="宋体" w:hAnsi="宋体" w:cs="仿宋_GB2312"/>
                <w:kern w:val="0"/>
                <w:sz w:val="24"/>
                <w:lang w:val="de-DE"/>
              </w:rPr>
            </w:pPr>
            <w:r>
              <w:rPr>
                <w:rFonts w:hint="eastAsia" w:ascii="宋体" w:hAnsi="宋体" w:cs="仿宋_GB2312"/>
                <w:kern w:val="0"/>
                <w:sz w:val="24"/>
                <w:lang w:val="de-DE"/>
              </w:rPr>
              <w:t>2. 5%＜异常考勤率≤10%   良</w:t>
            </w:r>
          </w:p>
          <w:p>
            <w:pPr>
              <w:widowControl/>
              <w:jc w:val="left"/>
              <w:rPr>
                <w:rFonts w:hint="eastAsia" w:ascii="宋体" w:hAnsi="宋体" w:cs="仿宋_GB2312"/>
                <w:kern w:val="0"/>
                <w:sz w:val="24"/>
                <w:lang w:val="de-DE"/>
              </w:rPr>
            </w:pPr>
            <w:r>
              <w:rPr>
                <w:rFonts w:hint="eastAsia" w:ascii="宋体" w:hAnsi="宋体" w:cs="仿宋_GB2312"/>
                <w:kern w:val="0"/>
                <w:sz w:val="24"/>
                <w:lang w:val="de-DE"/>
              </w:rPr>
              <w:t>3. 10%＜异常考勤率≤15%  中</w:t>
            </w:r>
          </w:p>
          <w:p>
            <w:pPr>
              <w:widowControl/>
              <w:jc w:val="left"/>
              <w:rPr>
                <w:rFonts w:hint="eastAsia" w:ascii="宋体" w:hAnsi="宋体" w:cs="仿宋_GB2312"/>
                <w:kern w:val="0"/>
                <w:sz w:val="24"/>
                <w:lang w:val="de-DE"/>
              </w:rPr>
            </w:pPr>
            <w:r>
              <w:rPr>
                <w:rFonts w:hint="eastAsia" w:ascii="宋体" w:hAnsi="宋体" w:cs="仿宋_GB2312"/>
                <w:kern w:val="0"/>
                <w:sz w:val="24"/>
                <w:lang w:val="de-DE"/>
              </w:rPr>
              <w:t>4. 15%＜异常考勤率       差</w:t>
            </w:r>
          </w:p>
        </w:tc>
        <w:tc>
          <w:tcPr>
            <w:tcW w:w="387" w:type="pct"/>
            <w:vAlign w:val="center"/>
          </w:tcPr>
          <w:p>
            <w:pPr>
              <w:widowControl/>
              <w:jc w:val="center"/>
              <w:rPr>
                <w:rFonts w:hint="eastAsia" w:ascii="宋体" w:hAnsi="宋体" w:cs="仿宋_GB2312"/>
                <w:kern w:val="0"/>
                <w:sz w:val="24"/>
                <w:lang w:val="de-DE"/>
              </w:rPr>
            </w:pPr>
            <w:r>
              <w:rPr>
                <w:rFonts w:hint="eastAsia" w:ascii="宋体" w:hAnsi="宋体" w:cs="仿宋_GB2312"/>
                <w:kern w:val="0"/>
                <w:sz w:val="24"/>
                <w:lang w:val="de-DE"/>
              </w:rPr>
              <w:t>10%</w:t>
            </w:r>
          </w:p>
        </w:tc>
      </w:tr>
    </w:tbl>
    <w:p>
      <w:pPr>
        <w:pStyle w:val="13"/>
        <w:spacing w:afterLines="0"/>
        <w:ind w:firstLine="480" w:firstLineChars="200"/>
        <w:rPr>
          <w:rFonts w:hint="eastAsia" w:ascii="宋体" w:hAnsi="宋体" w:cs="Times New Roman"/>
        </w:rPr>
      </w:pPr>
      <w:r>
        <w:rPr>
          <w:rFonts w:hint="eastAsia" w:ascii="宋体" w:hAnsi="宋体" w:cs="Times New Roman"/>
        </w:rPr>
        <w:t xml:space="preserve">根据SLA最后得分情况，划分为四个等级： </w:t>
      </w:r>
    </w:p>
    <w:p>
      <w:pPr>
        <w:pStyle w:val="13"/>
        <w:spacing w:afterLines="0"/>
        <w:ind w:firstLine="480" w:firstLineChars="200"/>
        <w:rPr>
          <w:rFonts w:hint="eastAsia" w:ascii="宋体" w:hAnsi="宋体" w:cs="Times New Roman"/>
        </w:rPr>
      </w:pPr>
      <w:r>
        <w:rPr>
          <w:rFonts w:hint="eastAsia" w:ascii="宋体" w:hAnsi="宋体" w:cs="Times New Roman"/>
        </w:rPr>
        <w:t>SLA&gt;=95的为优；</w:t>
      </w:r>
    </w:p>
    <w:p>
      <w:pPr>
        <w:pStyle w:val="13"/>
        <w:spacing w:afterLines="0"/>
        <w:ind w:firstLine="480" w:firstLineChars="200"/>
        <w:rPr>
          <w:rFonts w:hint="eastAsia" w:ascii="宋体" w:hAnsi="宋体" w:cs="Times New Roman"/>
        </w:rPr>
      </w:pPr>
      <w:r>
        <w:rPr>
          <w:rFonts w:hint="eastAsia" w:ascii="宋体" w:hAnsi="宋体" w:cs="Times New Roman"/>
        </w:rPr>
        <w:t>SLA在80-95的为良；</w:t>
      </w:r>
    </w:p>
    <w:p>
      <w:pPr>
        <w:pStyle w:val="13"/>
        <w:spacing w:afterLines="0"/>
        <w:ind w:firstLine="480" w:firstLineChars="200"/>
        <w:rPr>
          <w:rFonts w:hint="eastAsia" w:ascii="宋体" w:hAnsi="宋体" w:cs="Times New Roman"/>
        </w:rPr>
      </w:pPr>
      <w:r>
        <w:rPr>
          <w:rFonts w:hint="eastAsia" w:ascii="宋体" w:hAnsi="宋体" w:cs="Times New Roman"/>
        </w:rPr>
        <w:t>SLA在60-80的为中；</w:t>
      </w:r>
    </w:p>
    <w:p>
      <w:pPr>
        <w:spacing w:line="360" w:lineRule="auto"/>
        <w:ind w:left="630"/>
        <w:rPr>
          <w:rFonts w:hint="eastAsia" w:ascii="宋体" w:hAnsi="宋体"/>
          <w:sz w:val="24"/>
        </w:rPr>
      </w:pPr>
      <w:r>
        <w:rPr>
          <w:rFonts w:hint="eastAsia" w:ascii="宋体" w:hAnsi="宋体"/>
          <w:sz w:val="24"/>
        </w:rPr>
        <w:t>SLA&lt;60的为差。</w:t>
      </w:r>
    </w:p>
    <w:p>
      <w:pPr>
        <w:adjustRightInd w:val="0"/>
        <w:spacing w:line="360" w:lineRule="auto"/>
        <w:ind w:firstLine="480" w:firstLineChars="200"/>
        <w:textAlignment w:val="baseline"/>
        <w:rPr>
          <w:rFonts w:hint="eastAsia" w:ascii="宋体" w:hAnsi="宋体" w:cs="楷体_GB2312"/>
          <w:sz w:val="24"/>
        </w:rPr>
      </w:pPr>
      <w:bookmarkStart w:id="20" w:name="_Toc7716"/>
      <w:r>
        <w:rPr>
          <w:rFonts w:hint="eastAsia" w:ascii="宋体" w:hAnsi="宋体" w:cs="楷体_GB2312"/>
          <w:sz w:val="24"/>
        </w:rPr>
        <w:t>（三）</w:t>
      </w:r>
      <w:r>
        <w:rPr>
          <w:rFonts w:hint="eastAsia" w:ascii="宋体" w:hAnsi="宋体" w:cs="仿宋_GB2312"/>
          <w:sz w:val="24"/>
        </w:rPr>
        <w:t>SLA考核的罚则</w:t>
      </w:r>
      <w:bookmarkEnd w:id="20"/>
    </w:p>
    <w:p>
      <w:pPr>
        <w:pStyle w:val="13"/>
        <w:spacing w:afterLines="0"/>
        <w:ind w:firstLine="480" w:firstLineChars="200"/>
        <w:rPr>
          <w:rFonts w:hint="eastAsia" w:ascii="宋体" w:hAnsi="宋体" w:cs="仿宋_GB2312"/>
        </w:rPr>
      </w:pPr>
      <w:r>
        <w:rPr>
          <w:rFonts w:hint="eastAsia" w:ascii="宋体" w:hAnsi="宋体" w:cs="仿宋_GB2312"/>
        </w:rPr>
        <w:t>1.SLA考核为良：约谈公司高管，提出服务质量保障具体措施并限期落实；</w:t>
      </w:r>
    </w:p>
    <w:p>
      <w:pPr>
        <w:pStyle w:val="13"/>
        <w:spacing w:afterLines="0"/>
        <w:ind w:firstLine="480" w:firstLineChars="200"/>
        <w:rPr>
          <w:rFonts w:hint="eastAsia" w:ascii="宋体" w:hAnsi="宋体" w:cs="仿宋_GB2312"/>
        </w:rPr>
      </w:pPr>
      <w:r>
        <w:rPr>
          <w:rFonts w:hint="eastAsia" w:ascii="宋体" w:hAnsi="宋体" w:cs="仿宋_GB2312"/>
        </w:rPr>
        <w:t>2.SLA考核为中：约谈公司高管，提出服务质量保障具体措施并限期落实，从本次付款起每期付款顺次延迟半年支付，如有多次延迟的，延迟期限叠加。</w:t>
      </w:r>
    </w:p>
    <w:p>
      <w:pPr>
        <w:pStyle w:val="13"/>
        <w:spacing w:afterLines="0"/>
        <w:ind w:firstLine="480" w:firstLineChars="200"/>
      </w:pPr>
      <w:r>
        <w:rPr>
          <w:rFonts w:hint="eastAsia" w:ascii="宋体" w:hAnsi="宋体" w:cs="仿宋_GB2312"/>
        </w:rPr>
        <w:t>3.SLA 考核为差：约谈公司高管，提出服务质量保障具体措施并限期落实，暂停本次及以后各期款项支付，直至下次考核时服务质量达到中级以上，接续按以上标准执行。如已是最后一次验收，则扣除“合同价款”的百分之五（5%）。</w:t>
      </w:r>
      <w:bookmarkStart w:id="21" w:name="_GoBack"/>
      <w:bookmarkEnd w:id="21"/>
    </w:p>
    <w:sectPr>
      <w:headerReference r:id="rId5" w:type="first"/>
      <w:footerReference r:id="rId8" w:type="first"/>
      <w:headerReference r:id="rId3" w:type="default"/>
      <w:footerReference r:id="rId6" w:type="default"/>
      <w:headerReference r:id="rId4" w:type="even"/>
      <w:footerReference r:id="rId7" w:type="even"/>
      <w:pgSz w:w="11906" w:h="16838"/>
      <w:pgMar w:top="1304" w:right="707"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962B"/>
    <w:multiLevelType w:val="singleLevel"/>
    <w:tmpl w:val="84DF962B"/>
    <w:lvl w:ilvl="0" w:tentative="0">
      <w:start w:val="2"/>
      <w:numFmt w:val="chineseCounting"/>
      <w:suff w:val="nothing"/>
      <w:lvlText w:val="（%1）"/>
      <w:lvlJc w:val="left"/>
      <w:rPr>
        <w:rFonts w:hint="eastAsia"/>
      </w:rPr>
    </w:lvl>
  </w:abstractNum>
  <w:abstractNum w:abstractNumId="1">
    <w:nsid w:val="AE84738A"/>
    <w:multiLevelType w:val="singleLevel"/>
    <w:tmpl w:val="AE84738A"/>
    <w:lvl w:ilvl="0" w:tentative="0">
      <w:start w:val="1"/>
      <w:numFmt w:val="decimal"/>
      <w:suff w:val="nothing"/>
      <w:lvlText w:val="%1"/>
      <w:lvlJc w:val="left"/>
      <w:pPr>
        <w:tabs>
          <w:tab w:val="left" w:pos="0"/>
        </w:tabs>
        <w:ind w:left="454" w:hanging="454"/>
      </w:pPr>
      <w:rPr>
        <w:rFonts w:hint="default" w:ascii="宋体" w:hAnsi="宋体" w:eastAsia="宋体" w:cs="宋体"/>
      </w:rPr>
    </w:lvl>
  </w:abstractNum>
  <w:abstractNum w:abstractNumId="2">
    <w:nsid w:val="C484F922"/>
    <w:multiLevelType w:val="singleLevel"/>
    <w:tmpl w:val="C484F922"/>
    <w:lvl w:ilvl="0" w:tentative="0">
      <w:start w:val="2"/>
      <w:numFmt w:val="chineseCounting"/>
      <w:suff w:val="nothing"/>
      <w:lvlText w:val="（%1）"/>
      <w:lvlJc w:val="left"/>
      <w:rPr>
        <w:rFonts w:hint="eastAsia"/>
      </w:rPr>
    </w:lvl>
  </w:abstractNum>
  <w:abstractNum w:abstractNumId="3">
    <w:nsid w:val="FB123A50"/>
    <w:multiLevelType w:val="singleLevel"/>
    <w:tmpl w:val="FB123A50"/>
    <w:lvl w:ilvl="0" w:tentative="0">
      <w:start w:val="9"/>
      <w:numFmt w:val="chineseCounting"/>
      <w:suff w:val="nothing"/>
      <w:lvlText w:val="%1、"/>
      <w:lvlJc w:val="left"/>
      <w:rPr>
        <w:rFonts w:hint="eastAsia"/>
      </w:rPr>
    </w:lvl>
  </w:abstractNum>
  <w:abstractNum w:abstractNumId="4">
    <w:nsid w:val="4F3B93A5"/>
    <w:multiLevelType w:val="singleLevel"/>
    <w:tmpl w:val="4F3B93A5"/>
    <w:lvl w:ilvl="0" w:tentative="0">
      <w:start w:val="3"/>
      <w:numFmt w:val="chineseCounting"/>
      <w:suff w:val="nothing"/>
      <w:lvlText w:val="%1、"/>
      <w:lvlJc w:val="left"/>
      <w:rPr>
        <w:rFonts w:hint="eastAsia"/>
      </w:rPr>
    </w:lvl>
  </w:abstractNum>
  <w:abstractNum w:abstractNumId="5">
    <w:nsid w:val="58599E33"/>
    <w:multiLevelType w:val="singleLevel"/>
    <w:tmpl w:val="58599E33"/>
    <w:lvl w:ilvl="0" w:tentative="0">
      <w:start w:val="3"/>
      <w:numFmt w:val="decimal"/>
      <w:suff w:val="nothing"/>
      <w:lvlText w:val="（%1）"/>
      <w:lvlJc w:val="left"/>
    </w:lvl>
  </w:abstractNum>
  <w:abstractNum w:abstractNumId="6">
    <w:nsid w:val="73942994"/>
    <w:multiLevelType w:val="singleLevel"/>
    <w:tmpl w:val="73942994"/>
    <w:lvl w:ilvl="0" w:tentative="0">
      <w:start w:val="1"/>
      <w:numFmt w:val="bullet"/>
      <w:lvlText w:val=""/>
      <w:lvlJc w:val="left"/>
      <w:pPr>
        <w:ind w:left="1050" w:hanging="420"/>
      </w:pPr>
      <w:rPr>
        <w:rFonts w:hint="default" w:ascii="Wingdings" w:hAnsi="Wingdings"/>
      </w:r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191C"/>
    <w:rsid w:val="0067278D"/>
    <w:rsid w:val="00B177B8"/>
    <w:rsid w:val="00C9788D"/>
    <w:rsid w:val="00CD0DF9"/>
    <w:rsid w:val="011B315E"/>
    <w:rsid w:val="01406849"/>
    <w:rsid w:val="0154438D"/>
    <w:rsid w:val="022B3F0B"/>
    <w:rsid w:val="0248527E"/>
    <w:rsid w:val="0254406F"/>
    <w:rsid w:val="02557017"/>
    <w:rsid w:val="02943179"/>
    <w:rsid w:val="02BC3B8D"/>
    <w:rsid w:val="030D1E56"/>
    <w:rsid w:val="03342A9D"/>
    <w:rsid w:val="03525CB2"/>
    <w:rsid w:val="036754B3"/>
    <w:rsid w:val="038C318F"/>
    <w:rsid w:val="039A4FFA"/>
    <w:rsid w:val="03BA2173"/>
    <w:rsid w:val="03C54EF4"/>
    <w:rsid w:val="03EB7E16"/>
    <w:rsid w:val="03F65C52"/>
    <w:rsid w:val="04404F8E"/>
    <w:rsid w:val="04763A89"/>
    <w:rsid w:val="048C765D"/>
    <w:rsid w:val="04946005"/>
    <w:rsid w:val="04DB718B"/>
    <w:rsid w:val="050F7BC8"/>
    <w:rsid w:val="05261A58"/>
    <w:rsid w:val="053219B1"/>
    <w:rsid w:val="053E2DB0"/>
    <w:rsid w:val="056251E7"/>
    <w:rsid w:val="05657D2B"/>
    <w:rsid w:val="057768A4"/>
    <w:rsid w:val="057C2BC5"/>
    <w:rsid w:val="05834D3A"/>
    <w:rsid w:val="05B64421"/>
    <w:rsid w:val="05C1356C"/>
    <w:rsid w:val="063B1ED7"/>
    <w:rsid w:val="06601C2A"/>
    <w:rsid w:val="06933C76"/>
    <w:rsid w:val="06BB0C77"/>
    <w:rsid w:val="06BE075F"/>
    <w:rsid w:val="072430CB"/>
    <w:rsid w:val="078C0394"/>
    <w:rsid w:val="07990C75"/>
    <w:rsid w:val="07B178CF"/>
    <w:rsid w:val="07F63A27"/>
    <w:rsid w:val="081A1379"/>
    <w:rsid w:val="082C6B9C"/>
    <w:rsid w:val="08345975"/>
    <w:rsid w:val="088E4D07"/>
    <w:rsid w:val="08B430F2"/>
    <w:rsid w:val="08C75449"/>
    <w:rsid w:val="09174915"/>
    <w:rsid w:val="096D2CF7"/>
    <w:rsid w:val="09982191"/>
    <w:rsid w:val="099F5D28"/>
    <w:rsid w:val="09A44F36"/>
    <w:rsid w:val="09BC72F4"/>
    <w:rsid w:val="0A2063F5"/>
    <w:rsid w:val="0A2448BC"/>
    <w:rsid w:val="0A526ADF"/>
    <w:rsid w:val="0A62323B"/>
    <w:rsid w:val="0ACC76B2"/>
    <w:rsid w:val="0AEE7A5B"/>
    <w:rsid w:val="0B2B56BC"/>
    <w:rsid w:val="0B3254EC"/>
    <w:rsid w:val="0B6164E5"/>
    <w:rsid w:val="0B6316E6"/>
    <w:rsid w:val="0B87274A"/>
    <w:rsid w:val="0B8F4D58"/>
    <w:rsid w:val="0BC85668"/>
    <w:rsid w:val="0BD55151"/>
    <w:rsid w:val="0C1B150C"/>
    <w:rsid w:val="0C1C1778"/>
    <w:rsid w:val="0C342F84"/>
    <w:rsid w:val="0C3461A4"/>
    <w:rsid w:val="0C353F11"/>
    <w:rsid w:val="0C3845EF"/>
    <w:rsid w:val="0C4F4B83"/>
    <w:rsid w:val="0C5F4677"/>
    <w:rsid w:val="0C606FEB"/>
    <w:rsid w:val="0C680DC5"/>
    <w:rsid w:val="0C8B3C2D"/>
    <w:rsid w:val="0CA60D32"/>
    <w:rsid w:val="0CCA7312"/>
    <w:rsid w:val="0CF158E0"/>
    <w:rsid w:val="0D1D0803"/>
    <w:rsid w:val="0D793ECD"/>
    <w:rsid w:val="0D7B4CCC"/>
    <w:rsid w:val="0D85744B"/>
    <w:rsid w:val="0DAC09C0"/>
    <w:rsid w:val="0DBD6887"/>
    <w:rsid w:val="0DCE0F84"/>
    <w:rsid w:val="0DD06E78"/>
    <w:rsid w:val="0DEC19CE"/>
    <w:rsid w:val="0DF34DA2"/>
    <w:rsid w:val="0E011DB0"/>
    <w:rsid w:val="0E2611ED"/>
    <w:rsid w:val="0E295016"/>
    <w:rsid w:val="0E696174"/>
    <w:rsid w:val="0E6D5264"/>
    <w:rsid w:val="0E7449EF"/>
    <w:rsid w:val="0E7716C2"/>
    <w:rsid w:val="0EFC4642"/>
    <w:rsid w:val="0F28020A"/>
    <w:rsid w:val="0FCE2D73"/>
    <w:rsid w:val="0FE40CA6"/>
    <w:rsid w:val="10201BA6"/>
    <w:rsid w:val="1035354C"/>
    <w:rsid w:val="10376C37"/>
    <w:rsid w:val="104431AA"/>
    <w:rsid w:val="1056207C"/>
    <w:rsid w:val="108B6B87"/>
    <w:rsid w:val="10C6124F"/>
    <w:rsid w:val="10D21388"/>
    <w:rsid w:val="113A2A4C"/>
    <w:rsid w:val="114305E5"/>
    <w:rsid w:val="11530321"/>
    <w:rsid w:val="116A78C6"/>
    <w:rsid w:val="11704A6D"/>
    <w:rsid w:val="117224A3"/>
    <w:rsid w:val="118E6EF0"/>
    <w:rsid w:val="11AC495C"/>
    <w:rsid w:val="11B67C5C"/>
    <w:rsid w:val="11BF1E5B"/>
    <w:rsid w:val="11C437A9"/>
    <w:rsid w:val="11F649A6"/>
    <w:rsid w:val="11F779E6"/>
    <w:rsid w:val="11F83AAA"/>
    <w:rsid w:val="11FB2BBB"/>
    <w:rsid w:val="12077333"/>
    <w:rsid w:val="1225112C"/>
    <w:rsid w:val="124B5BA0"/>
    <w:rsid w:val="1265351C"/>
    <w:rsid w:val="129E5365"/>
    <w:rsid w:val="12C41B2B"/>
    <w:rsid w:val="12E61948"/>
    <w:rsid w:val="12ED7715"/>
    <w:rsid w:val="13254731"/>
    <w:rsid w:val="13A75476"/>
    <w:rsid w:val="13C74B08"/>
    <w:rsid w:val="141F1995"/>
    <w:rsid w:val="143E6692"/>
    <w:rsid w:val="14583D41"/>
    <w:rsid w:val="145D5CA0"/>
    <w:rsid w:val="14895C3D"/>
    <w:rsid w:val="1494760F"/>
    <w:rsid w:val="14B9217E"/>
    <w:rsid w:val="151E6BBF"/>
    <w:rsid w:val="1529545B"/>
    <w:rsid w:val="152C7C6A"/>
    <w:rsid w:val="15427AED"/>
    <w:rsid w:val="155465B8"/>
    <w:rsid w:val="15853613"/>
    <w:rsid w:val="15910A22"/>
    <w:rsid w:val="159B64F1"/>
    <w:rsid w:val="15A14859"/>
    <w:rsid w:val="15AB1406"/>
    <w:rsid w:val="15D13ED0"/>
    <w:rsid w:val="160E5AE8"/>
    <w:rsid w:val="166403E8"/>
    <w:rsid w:val="1683596C"/>
    <w:rsid w:val="16DB6843"/>
    <w:rsid w:val="16E1334C"/>
    <w:rsid w:val="16F02268"/>
    <w:rsid w:val="16F430FA"/>
    <w:rsid w:val="17053F6B"/>
    <w:rsid w:val="1727166A"/>
    <w:rsid w:val="17651E95"/>
    <w:rsid w:val="176E6D43"/>
    <w:rsid w:val="177343C6"/>
    <w:rsid w:val="178E0C87"/>
    <w:rsid w:val="17B96F61"/>
    <w:rsid w:val="17C450FA"/>
    <w:rsid w:val="17C84165"/>
    <w:rsid w:val="180D73CF"/>
    <w:rsid w:val="18171967"/>
    <w:rsid w:val="181B0F4D"/>
    <w:rsid w:val="18246812"/>
    <w:rsid w:val="185706AF"/>
    <w:rsid w:val="18CF2612"/>
    <w:rsid w:val="18FE4964"/>
    <w:rsid w:val="191302A9"/>
    <w:rsid w:val="19175CBD"/>
    <w:rsid w:val="193F2DEB"/>
    <w:rsid w:val="19471919"/>
    <w:rsid w:val="195E0A50"/>
    <w:rsid w:val="197541D1"/>
    <w:rsid w:val="19885D25"/>
    <w:rsid w:val="1A0E33D5"/>
    <w:rsid w:val="1A1F4584"/>
    <w:rsid w:val="1A2E44B8"/>
    <w:rsid w:val="1A481081"/>
    <w:rsid w:val="1A640091"/>
    <w:rsid w:val="1A7A48A7"/>
    <w:rsid w:val="1A874F53"/>
    <w:rsid w:val="1AD565FA"/>
    <w:rsid w:val="1AF23090"/>
    <w:rsid w:val="1B074B04"/>
    <w:rsid w:val="1B082EAE"/>
    <w:rsid w:val="1B1B642D"/>
    <w:rsid w:val="1B25421F"/>
    <w:rsid w:val="1B283AEA"/>
    <w:rsid w:val="1B3613AF"/>
    <w:rsid w:val="1B3C463F"/>
    <w:rsid w:val="1B5E0CC5"/>
    <w:rsid w:val="1B7F0138"/>
    <w:rsid w:val="1B8229CD"/>
    <w:rsid w:val="1B8A1A6F"/>
    <w:rsid w:val="1B9D38DE"/>
    <w:rsid w:val="1BE250F3"/>
    <w:rsid w:val="1BF815EB"/>
    <w:rsid w:val="1BFA73EB"/>
    <w:rsid w:val="1C051801"/>
    <w:rsid w:val="1C1C1559"/>
    <w:rsid w:val="1C2A4C7B"/>
    <w:rsid w:val="1C2C1605"/>
    <w:rsid w:val="1C32103C"/>
    <w:rsid w:val="1C7572A3"/>
    <w:rsid w:val="1C7D6891"/>
    <w:rsid w:val="1C8A5A4F"/>
    <w:rsid w:val="1C8E20DB"/>
    <w:rsid w:val="1CBF440F"/>
    <w:rsid w:val="1CCC078F"/>
    <w:rsid w:val="1CDE3CAB"/>
    <w:rsid w:val="1CE43ECF"/>
    <w:rsid w:val="1D63216D"/>
    <w:rsid w:val="1D680690"/>
    <w:rsid w:val="1D6C0D79"/>
    <w:rsid w:val="1D827155"/>
    <w:rsid w:val="1D96134E"/>
    <w:rsid w:val="1DA95E90"/>
    <w:rsid w:val="1DC80918"/>
    <w:rsid w:val="1DCB0E40"/>
    <w:rsid w:val="1DD26E31"/>
    <w:rsid w:val="1E133E93"/>
    <w:rsid w:val="1E217196"/>
    <w:rsid w:val="1E561825"/>
    <w:rsid w:val="1E5C08DE"/>
    <w:rsid w:val="1EC4020F"/>
    <w:rsid w:val="1F004A40"/>
    <w:rsid w:val="1F7B70E8"/>
    <w:rsid w:val="1F877474"/>
    <w:rsid w:val="1F8B7D34"/>
    <w:rsid w:val="1FD14E5C"/>
    <w:rsid w:val="1FDD626F"/>
    <w:rsid w:val="201E6675"/>
    <w:rsid w:val="20313FC0"/>
    <w:rsid w:val="20362BB6"/>
    <w:rsid w:val="203B575C"/>
    <w:rsid w:val="20523FE3"/>
    <w:rsid w:val="20943D54"/>
    <w:rsid w:val="209F11CE"/>
    <w:rsid w:val="20B06578"/>
    <w:rsid w:val="211A188A"/>
    <w:rsid w:val="213D14A0"/>
    <w:rsid w:val="21733C21"/>
    <w:rsid w:val="21820B33"/>
    <w:rsid w:val="21913D65"/>
    <w:rsid w:val="21972969"/>
    <w:rsid w:val="219B31A6"/>
    <w:rsid w:val="21A20DE2"/>
    <w:rsid w:val="22147F90"/>
    <w:rsid w:val="2249061E"/>
    <w:rsid w:val="22607515"/>
    <w:rsid w:val="226260F7"/>
    <w:rsid w:val="22991128"/>
    <w:rsid w:val="22A21D80"/>
    <w:rsid w:val="22DC05AD"/>
    <w:rsid w:val="22E049B4"/>
    <w:rsid w:val="22E30252"/>
    <w:rsid w:val="22EF6919"/>
    <w:rsid w:val="23187E8E"/>
    <w:rsid w:val="232660F1"/>
    <w:rsid w:val="23293E18"/>
    <w:rsid w:val="23336247"/>
    <w:rsid w:val="23804525"/>
    <w:rsid w:val="23B23C44"/>
    <w:rsid w:val="23DA36FA"/>
    <w:rsid w:val="23F33119"/>
    <w:rsid w:val="23F65297"/>
    <w:rsid w:val="2401244D"/>
    <w:rsid w:val="240A6F19"/>
    <w:rsid w:val="243161DF"/>
    <w:rsid w:val="245E0DEA"/>
    <w:rsid w:val="247F00D5"/>
    <w:rsid w:val="24824147"/>
    <w:rsid w:val="24D9756B"/>
    <w:rsid w:val="24F521E9"/>
    <w:rsid w:val="25302140"/>
    <w:rsid w:val="255945AF"/>
    <w:rsid w:val="257B6058"/>
    <w:rsid w:val="25880391"/>
    <w:rsid w:val="25C60FBC"/>
    <w:rsid w:val="25DE1F4B"/>
    <w:rsid w:val="25E35F70"/>
    <w:rsid w:val="26183126"/>
    <w:rsid w:val="261E080F"/>
    <w:rsid w:val="263D5C17"/>
    <w:rsid w:val="264D3877"/>
    <w:rsid w:val="26545F6B"/>
    <w:rsid w:val="266808D6"/>
    <w:rsid w:val="26772387"/>
    <w:rsid w:val="267B401A"/>
    <w:rsid w:val="268D1519"/>
    <w:rsid w:val="268E5BB1"/>
    <w:rsid w:val="26A26AFC"/>
    <w:rsid w:val="26A6071B"/>
    <w:rsid w:val="26AD2111"/>
    <w:rsid w:val="26B21821"/>
    <w:rsid w:val="26B407CE"/>
    <w:rsid w:val="26C336A8"/>
    <w:rsid w:val="26C5687F"/>
    <w:rsid w:val="26D645A9"/>
    <w:rsid w:val="26D75BEB"/>
    <w:rsid w:val="26E33D56"/>
    <w:rsid w:val="26EC038D"/>
    <w:rsid w:val="27000A2D"/>
    <w:rsid w:val="27131CCB"/>
    <w:rsid w:val="27512B2C"/>
    <w:rsid w:val="27514265"/>
    <w:rsid w:val="278D2914"/>
    <w:rsid w:val="278E43F5"/>
    <w:rsid w:val="27C601A1"/>
    <w:rsid w:val="27C63FF9"/>
    <w:rsid w:val="27E7535E"/>
    <w:rsid w:val="280956CD"/>
    <w:rsid w:val="283D67A9"/>
    <w:rsid w:val="285F4BC1"/>
    <w:rsid w:val="28D776D1"/>
    <w:rsid w:val="28D80FDC"/>
    <w:rsid w:val="28DA6DA5"/>
    <w:rsid w:val="29226886"/>
    <w:rsid w:val="292D62AE"/>
    <w:rsid w:val="29782AF1"/>
    <w:rsid w:val="298A5440"/>
    <w:rsid w:val="29AD3447"/>
    <w:rsid w:val="29AD5EE6"/>
    <w:rsid w:val="2A0A4EAF"/>
    <w:rsid w:val="2A3F3FFA"/>
    <w:rsid w:val="2A607A6A"/>
    <w:rsid w:val="2A6236EC"/>
    <w:rsid w:val="2A660D44"/>
    <w:rsid w:val="2B12039F"/>
    <w:rsid w:val="2B1C270F"/>
    <w:rsid w:val="2B4A6B85"/>
    <w:rsid w:val="2B5F3DD9"/>
    <w:rsid w:val="2B7B2074"/>
    <w:rsid w:val="2B8A53A7"/>
    <w:rsid w:val="2B9A3E1C"/>
    <w:rsid w:val="2BB46E8B"/>
    <w:rsid w:val="2C091721"/>
    <w:rsid w:val="2C1C2054"/>
    <w:rsid w:val="2C281BC9"/>
    <w:rsid w:val="2C450DC1"/>
    <w:rsid w:val="2C4D6CC9"/>
    <w:rsid w:val="2CAF4126"/>
    <w:rsid w:val="2CB91CD5"/>
    <w:rsid w:val="2CDE7FF1"/>
    <w:rsid w:val="2D03187E"/>
    <w:rsid w:val="2D165996"/>
    <w:rsid w:val="2D475B28"/>
    <w:rsid w:val="2D4E3B89"/>
    <w:rsid w:val="2D5C5036"/>
    <w:rsid w:val="2D917813"/>
    <w:rsid w:val="2D9F7864"/>
    <w:rsid w:val="2DBA21F1"/>
    <w:rsid w:val="2E355FE3"/>
    <w:rsid w:val="2E506FBD"/>
    <w:rsid w:val="2E55066C"/>
    <w:rsid w:val="2E55644F"/>
    <w:rsid w:val="2E762D6D"/>
    <w:rsid w:val="2E880AD5"/>
    <w:rsid w:val="2E961FBD"/>
    <w:rsid w:val="2EBB2D52"/>
    <w:rsid w:val="2EBF3434"/>
    <w:rsid w:val="2ED40338"/>
    <w:rsid w:val="2EE270A5"/>
    <w:rsid w:val="2EEE20AB"/>
    <w:rsid w:val="2F12041C"/>
    <w:rsid w:val="2F345F2C"/>
    <w:rsid w:val="2F6421B8"/>
    <w:rsid w:val="2F7D4FEB"/>
    <w:rsid w:val="2FA73F36"/>
    <w:rsid w:val="2FF774A7"/>
    <w:rsid w:val="302C7253"/>
    <w:rsid w:val="3039018A"/>
    <w:rsid w:val="307D3888"/>
    <w:rsid w:val="30B81E48"/>
    <w:rsid w:val="30C01F69"/>
    <w:rsid w:val="30C847D3"/>
    <w:rsid w:val="30C84961"/>
    <w:rsid w:val="30D20E44"/>
    <w:rsid w:val="30DC066C"/>
    <w:rsid w:val="312527C2"/>
    <w:rsid w:val="314154FE"/>
    <w:rsid w:val="314168B8"/>
    <w:rsid w:val="3145639A"/>
    <w:rsid w:val="314F4864"/>
    <w:rsid w:val="31855AAA"/>
    <w:rsid w:val="31B36B79"/>
    <w:rsid w:val="31CC1BCB"/>
    <w:rsid w:val="31E91B91"/>
    <w:rsid w:val="3206300A"/>
    <w:rsid w:val="320A4935"/>
    <w:rsid w:val="320A67D8"/>
    <w:rsid w:val="321450CA"/>
    <w:rsid w:val="322778D8"/>
    <w:rsid w:val="323C7618"/>
    <w:rsid w:val="32955FB1"/>
    <w:rsid w:val="32C94DBF"/>
    <w:rsid w:val="32CB727F"/>
    <w:rsid w:val="32DB2B1E"/>
    <w:rsid w:val="32E8120A"/>
    <w:rsid w:val="32F85CEE"/>
    <w:rsid w:val="330A70F9"/>
    <w:rsid w:val="33227AD3"/>
    <w:rsid w:val="33340AAE"/>
    <w:rsid w:val="3341186A"/>
    <w:rsid w:val="3345490B"/>
    <w:rsid w:val="335B0363"/>
    <w:rsid w:val="33B26301"/>
    <w:rsid w:val="33CC7E31"/>
    <w:rsid w:val="33D4179B"/>
    <w:rsid w:val="33D84C3F"/>
    <w:rsid w:val="34107628"/>
    <w:rsid w:val="342862DA"/>
    <w:rsid w:val="34673587"/>
    <w:rsid w:val="348E2386"/>
    <w:rsid w:val="34AA1F47"/>
    <w:rsid w:val="34B53BB0"/>
    <w:rsid w:val="34D7783A"/>
    <w:rsid w:val="352D4F80"/>
    <w:rsid w:val="35551D2A"/>
    <w:rsid w:val="35625F64"/>
    <w:rsid w:val="3572291D"/>
    <w:rsid w:val="3592085D"/>
    <w:rsid w:val="35B4027E"/>
    <w:rsid w:val="35BE74A2"/>
    <w:rsid w:val="35D00C27"/>
    <w:rsid w:val="35F8268F"/>
    <w:rsid w:val="363567A8"/>
    <w:rsid w:val="363D1065"/>
    <w:rsid w:val="365330A0"/>
    <w:rsid w:val="365C2A8F"/>
    <w:rsid w:val="366513D5"/>
    <w:rsid w:val="36673355"/>
    <w:rsid w:val="36702023"/>
    <w:rsid w:val="368332D6"/>
    <w:rsid w:val="37263DFE"/>
    <w:rsid w:val="373833B0"/>
    <w:rsid w:val="376C1E02"/>
    <w:rsid w:val="377372B4"/>
    <w:rsid w:val="37777364"/>
    <w:rsid w:val="37941AFF"/>
    <w:rsid w:val="3798428E"/>
    <w:rsid w:val="37BA53DB"/>
    <w:rsid w:val="380C6E84"/>
    <w:rsid w:val="382F559E"/>
    <w:rsid w:val="383027D1"/>
    <w:rsid w:val="38490181"/>
    <w:rsid w:val="388308DE"/>
    <w:rsid w:val="388601C4"/>
    <w:rsid w:val="38B93817"/>
    <w:rsid w:val="38CC7E20"/>
    <w:rsid w:val="38E844AF"/>
    <w:rsid w:val="38EE7BBD"/>
    <w:rsid w:val="39762665"/>
    <w:rsid w:val="399C2679"/>
    <w:rsid w:val="39A01647"/>
    <w:rsid w:val="39AD747A"/>
    <w:rsid w:val="39B66993"/>
    <w:rsid w:val="39DA6DB5"/>
    <w:rsid w:val="3A0C3E5A"/>
    <w:rsid w:val="3A186389"/>
    <w:rsid w:val="3A334A2E"/>
    <w:rsid w:val="3A3B6DB0"/>
    <w:rsid w:val="3A4F6750"/>
    <w:rsid w:val="3A581C3C"/>
    <w:rsid w:val="3A5B3525"/>
    <w:rsid w:val="3A632969"/>
    <w:rsid w:val="3A6D5F72"/>
    <w:rsid w:val="3A8C6FE0"/>
    <w:rsid w:val="3B0B6799"/>
    <w:rsid w:val="3B1A33F4"/>
    <w:rsid w:val="3B2E4F91"/>
    <w:rsid w:val="3B3962EE"/>
    <w:rsid w:val="3B554356"/>
    <w:rsid w:val="3B984A2E"/>
    <w:rsid w:val="3BB51E45"/>
    <w:rsid w:val="3BBF5F7D"/>
    <w:rsid w:val="3C152957"/>
    <w:rsid w:val="3C222138"/>
    <w:rsid w:val="3C4C1BA1"/>
    <w:rsid w:val="3C5A147B"/>
    <w:rsid w:val="3C8D4E1A"/>
    <w:rsid w:val="3C9B2503"/>
    <w:rsid w:val="3CA77EC0"/>
    <w:rsid w:val="3CEC10E6"/>
    <w:rsid w:val="3CED4350"/>
    <w:rsid w:val="3D474269"/>
    <w:rsid w:val="3D5238F4"/>
    <w:rsid w:val="3D9A14A6"/>
    <w:rsid w:val="3D9B34A9"/>
    <w:rsid w:val="3DA63256"/>
    <w:rsid w:val="3DAA57E0"/>
    <w:rsid w:val="3DBD2D39"/>
    <w:rsid w:val="3DD31324"/>
    <w:rsid w:val="3DE24983"/>
    <w:rsid w:val="3DF24640"/>
    <w:rsid w:val="3DF574D6"/>
    <w:rsid w:val="3E3E24A6"/>
    <w:rsid w:val="3E41141E"/>
    <w:rsid w:val="3E474694"/>
    <w:rsid w:val="3EBB20B7"/>
    <w:rsid w:val="3EDB4E82"/>
    <w:rsid w:val="3EDE7639"/>
    <w:rsid w:val="3EE9322E"/>
    <w:rsid w:val="3F147F65"/>
    <w:rsid w:val="3F1A2C5F"/>
    <w:rsid w:val="3F261502"/>
    <w:rsid w:val="3F3455D5"/>
    <w:rsid w:val="3F832EC8"/>
    <w:rsid w:val="3F8557E1"/>
    <w:rsid w:val="3FAE5191"/>
    <w:rsid w:val="3FE0087B"/>
    <w:rsid w:val="3FEA3DBB"/>
    <w:rsid w:val="3FEB2B6E"/>
    <w:rsid w:val="400F509B"/>
    <w:rsid w:val="403B4077"/>
    <w:rsid w:val="403F7AE1"/>
    <w:rsid w:val="40685E31"/>
    <w:rsid w:val="407179AC"/>
    <w:rsid w:val="407A003D"/>
    <w:rsid w:val="410A6FF7"/>
    <w:rsid w:val="410A771D"/>
    <w:rsid w:val="412D29A6"/>
    <w:rsid w:val="41545C84"/>
    <w:rsid w:val="41A4031C"/>
    <w:rsid w:val="420C1D4F"/>
    <w:rsid w:val="423E32B3"/>
    <w:rsid w:val="424A4331"/>
    <w:rsid w:val="4274727B"/>
    <w:rsid w:val="4278342A"/>
    <w:rsid w:val="429240B1"/>
    <w:rsid w:val="42941B77"/>
    <w:rsid w:val="429F7110"/>
    <w:rsid w:val="42BD593D"/>
    <w:rsid w:val="42C151D6"/>
    <w:rsid w:val="42C514C1"/>
    <w:rsid w:val="42C725EF"/>
    <w:rsid w:val="43381A40"/>
    <w:rsid w:val="434D1E81"/>
    <w:rsid w:val="43510263"/>
    <w:rsid w:val="436F187F"/>
    <w:rsid w:val="439B0DB1"/>
    <w:rsid w:val="43AF17B3"/>
    <w:rsid w:val="43BB5A55"/>
    <w:rsid w:val="43D3623F"/>
    <w:rsid w:val="43E360A1"/>
    <w:rsid w:val="43E946FD"/>
    <w:rsid w:val="43F82BEC"/>
    <w:rsid w:val="441150EF"/>
    <w:rsid w:val="444361F0"/>
    <w:rsid w:val="446B6838"/>
    <w:rsid w:val="44A03A1A"/>
    <w:rsid w:val="44A52C92"/>
    <w:rsid w:val="44A60A3E"/>
    <w:rsid w:val="44AF6918"/>
    <w:rsid w:val="44CF36C6"/>
    <w:rsid w:val="45302C09"/>
    <w:rsid w:val="45562577"/>
    <w:rsid w:val="45A1451A"/>
    <w:rsid w:val="45AC230B"/>
    <w:rsid w:val="45BE63F4"/>
    <w:rsid w:val="45C35689"/>
    <w:rsid w:val="45D12058"/>
    <w:rsid w:val="45E50C30"/>
    <w:rsid w:val="4610794A"/>
    <w:rsid w:val="462837EB"/>
    <w:rsid w:val="464243F1"/>
    <w:rsid w:val="46507E8E"/>
    <w:rsid w:val="46596E62"/>
    <w:rsid w:val="46721B28"/>
    <w:rsid w:val="467F4E62"/>
    <w:rsid w:val="46840376"/>
    <w:rsid w:val="46E2416C"/>
    <w:rsid w:val="46E6393D"/>
    <w:rsid w:val="47264F09"/>
    <w:rsid w:val="474C075E"/>
    <w:rsid w:val="47793152"/>
    <w:rsid w:val="47996186"/>
    <w:rsid w:val="47A33B19"/>
    <w:rsid w:val="47C8333D"/>
    <w:rsid w:val="47EF2450"/>
    <w:rsid w:val="480048B6"/>
    <w:rsid w:val="48372C87"/>
    <w:rsid w:val="484308F1"/>
    <w:rsid w:val="4888328C"/>
    <w:rsid w:val="48885C8E"/>
    <w:rsid w:val="48AB728E"/>
    <w:rsid w:val="48B07EBB"/>
    <w:rsid w:val="48D9763D"/>
    <w:rsid w:val="48E80D64"/>
    <w:rsid w:val="49B454E4"/>
    <w:rsid w:val="49C26A6A"/>
    <w:rsid w:val="49CE1C19"/>
    <w:rsid w:val="49F2115A"/>
    <w:rsid w:val="4A17692A"/>
    <w:rsid w:val="4A2D624F"/>
    <w:rsid w:val="4A48349F"/>
    <w:rsid w:val="4A4C0615"/>
    <w:rsid w:val="4A5F14C2"/>
    <w:rsid w:val="4A8977B2"/>
    <w:rsid w:val="4AA43133"/>
    <w:rsid w:val="4ADA2ECA"/>
    <w:rsid w:val="4ADC6043"/>
    <w:rsid w:val="4AE76108"/>
    <w:rsid w:val="4AEF65E6"/>
    <w:rsid w:val="4B123AF2"/>
    <w:rsid w:val="4B1853E8"/>
    <w:rsid w:val="4B2F7D7F"/>
    <w:rsid w:val="4B414BB7"/>
    <w:rsid w:val="4B5647CF"/>
    <w:rsid w:val="4B586699"/>
    <w:rsid w:val="4B714D9F"/>
    <w:rsid w:val="4BA80166"/>
    <w:rsid w:val="4BC004CA"/>
    <w:rsid w:val="4BC35224"/>
    <w:rsid w:val="4BC71E8D"/>
    <w:rsid w:val="4BD87D5F"/>
    <w:rsid w:val="4BEA4404"/>
    <w:rsid w:val="4C086543"/>
    <w:rsid w:val="4C131799"/>
    <w:rsid w:val="4C221326"/>
    <w:rsid w:val="4C6C086F"/>
    <w:rsid w:val="4C734331"/>
    <w:rsid w:val="4C98078B"/>
    <w:rsid w:val="4C9F1DE3"/>
    <w:rsid w:val="4CD3177F"/>
    <w:rsid w:val="4D021433"/>
    <w:rsid w:val="4D1E4BCE"/>
    <w:rsid w:val="4D276D7B"/>
    <w:rsid w:val="4D364EE2"/>
    <w:rsid w:val="4D6A04FE"/>
    <w:rsid w:val="4D7462E4"/>
    <w:rsid w:val="4DC95924"/>
    <w:rsid w:val="4DCD019E"/>
    <w:rsid w:val="4DD60EAA"/>
    <w:rsid w:val="4DE54660"/>
    <w:rsid w:val="4DFE7A93"/>
    <w:rsid w:val="4E1120E9"/>
    <w:rsid w:val="4E7F64C5"/>
    <w:rsid w:val="4E8469F6"/>
    <w:rsid w:val="4EB00700"/>
    <w:rsid w:val="4EB43CA9"/>
    <w:rsid w:val="4F047C62"/>
    <w:rsid w:val="4F642E33"/>
    <w:rsid w:val="4F831A0F"/>
    <w:rsid w:val="4F8320D9"/>
    <w:rsid w:val="4F903816"/>
    <w:rsid w:val="4FC11BF4"/>
    <w:rsid w:val="4FC44EF7"/>
    <w:rsid w:val="4FCC42FC"/>
    <w:rsid w:val="4FEA071F"/>
    <w:rsid w:val="50132101"/>
    <w:rsid w:val="50241084"/>
    <w:rsid w:val="50277725"/>
    <w:rsid w:val="5032315C"/>
    <w:rsid w:val="504F1A05"/>
    <w:rsid w:val="505876F5"/>
    <w:rsid w:val="507A1162"/>
    <w:rsid w:val="50B77632"/>
    <w:rsid w:val="50BE4310"/>
    <w:rsid w:val="50FD4F56"/>
    <w:rsid w:val="510D4F16"/>
    <w:rsid w:val="512B0379"/>
    <w:rsid w:val="5144144D"/>
    <w:rsid w:val="519A4452"/>
    <w:rsid w:val="519D0CB4"/>
    <w:rsid w:val="51A045D4"/>
    <w:rsid w:val="51A769D9"/>
    <w:rsid w:val="51C263F1"/>
    <w:rsid w:val="52030359"/>
    <w:rsid w:val="5208286A"/>
    <w:rsid w:val="5221042E"/>
    <w:rsid w:val="522D7756"/>
    <w:rsid w:val="524A2799"/>
    <w:rsid w:val="52660F1F"/>
    <w:rsid w:val="52677D01"/>
    <w:rsid w:val="52866C45"/>
    <w:rsid w:val="52901EDA"/>
    <w:rsid w:val="52A50148"/>
    <w:rsid w:val="52C42B94"/>
    <w:rsid w:val="52FB0E27"/>
    <w:rsid w:val="53261388"/>
    <w:rsid w:val="53262C4C"/>
    <w:rsid w:val="5347635A"/>
    <w:rsid w:val="5367261F"/>
    <w:rsid w:val="53716D85"/>
    <w:rsid w:val="53C40138"/>
    <w:rsid w:val="53E53DD3"/>
    <w:rsid w:val="53F729EE"/>
    <w:rsid w:val="542B3C74"/>
    <w:rsid w:val="544F6970"/>
    <w:rsid w:val="54EE168F"/>
    <w:rsid w:val="550B11B6"/>
    <w:rsid w:val="55290BA7"/>
    <w:rsid w:val="55C14582"/>
    <w:rsid w:val="55C23CC1"/>
    <w:rsid w:val="55CE6E62"/>
    <w:rsid w:val="55D61107"/>
    <w:rsid w:val="55E23BA2"/>
    <w:rsid w:val="55E662FE"/>
    <w:rsid w:val="562F0E5D"/>
    <w:rsid w:val="563E5A62"/>
    <w:rsid w:val="56402CA1"/>
    <w:rsid w:val="56682BBE"/>
    <w:rsid w:val="56B5222C"/>
    <w:rsid w:val="56E97284"/>
    <w:rsid w:val="56FE3AEA"/>
    <w:rsid w:val="571202CE"/>
    <w:rsid w:val="57191A28"/>
    <w:rsid w:val="57240607"/>
    <w:rsid w:val="576D64F8"/>
    <w:rsid w:val="578C72A1"/>
    <w:rsid w:val="57B264DD"/>
    <w:rsid w:val="57C2493B"/>
    <w:rsid w:val="57CB5328"/>
    <w:rsid w:val="57CC7E17"/>
    <w:rsid w:val="58014045"/>
    <w:rsid w:val="58046775"/>
    <w:rsid w:val="58160087"/>
    <w:rsid w:val="58536853"/>
    <w:rsid w:val="587B0451"/>
    <w:rsid w:val="589D78D8"/>
    <w:rsid w:val="58A11611"/>
    <w:rsid w:val="58B153EA"/>
    <w:rsid w:val="58C81DD2"/>
    <w:rsid w:val="58CF6E02"/>
    <w:rsid w:val="58D53F2A"/>
    <w:rsid w:val="58D834CC"/>
    <w:rsid w:val="58E96C89"/>
    <w:rsid w:val="58F63C5C"/>
    <w:rsid w:val="59167C3A"/>
    <w:rsid w:val="59757D12"/>
    <w:rsid w:val="59A01EB7"/>
    <w:rsid w:val="59C04FEB"/>
    <w:rsid w:val="59D94B9A"/>
    <w:rsid w:val="59EB7ACC"/>
    <w:rsid w:val="59EE6233"/>
    <w:rsid w:val="5A0333F4"/>
    <w:rsid w:val="5A0379E1"/>
    <w:rsid w:val="5A162127"/>
    <w:rsid w:val="5A9D0CAD"/>
    <w:rsid w:val="5AE03EC5"/>
    <w:rsid w:val="5B0B5667"/>
    <w:rsid w:val="5B4F65C4"/>
    <w:rsid w:val="5B5B36CA"/>
    <w:rsid w:val="5B703337"/>
    <w:rsid w:val="5B887324"/>
    <w:rsid w:val="5BB50750"/>
    <w:rsid w:val="5BBD6CF5"/>
    <w:rsid w:val="5C0A74E9"/>
    <w:rsid w:val="5C1A5F7F"/>
    <w:rsid w:val="5C570CEF"/>
    <w:rsid w:val="5C7B5406"/>
    <w:rsid w:val="5C8D7231"/>
    <w:rsid w:val="5C97049D"/>
    <w:rsid w:val="5C9D260A"/>
    <w:rsid w:val="5CA21C1D"/>
    <w:rsid w:val="5CA53C87"/>
    <w:rsid w:val="5CB3320B"/>
    <w:rsid w:val="5D0739B7"/>
    <w:rsid w:val="5D21462D"/>
    <w:rsid w:val="5D7456B5"/>
    <w:rsid w:val="5D7943BA"/>
    <w:rsid w:val="5D7E64CD"/>
    <w:rsid w:val="5D97095B"/>
    <w:rsid w:val="5DA97D33"/>
    <w:rsid w:val="5DEA260C"/>
    <w:rsid w:val="5E02480A"/>
    <w:rsid w:val="5E1612A9"/>
    <w:rsid w:val="5E165076"/>
    <w:rsid w:val="5E2467F8"/>
    <w:rsid w:val="5E743B70"/>
    <w:rsid w:val="5EA23C13"/>
    <w:rsid w:val="5EB02BD2"/>
    <w:rsid w:val="5EF90E44"/>
    <w:rsid w:val="5F061F68"/>
    <w:rsid w:val="5F34170B"/>
    <w:rsid w:val="5F4957D0"/>
    <w:rsid w:val="5F527ED4"/>
    <w:rsid w:val="5F904048"/>
    <w:rsid w:val="5F910072"/>
    <w:rsid w:val="5FC270B9"/>
    <w:rsid w:val="5FE12E0C"/>
    <w:rsid w:val="600942B3"/>
    <w:rsid w:val="602231B3"/>
    <w:rsid w:val="60393D3C"/>
    <w:rsid w:val="604869DE"/>
    <w:rsid w:val="608F3B3A"/>
    <w:rsid w:val="60A52104"/>
    <w:rsid w:val="60A62DB5"/>
    <w:rsid w:val="60A74540"/>
    <w:rsid w:val="60AE3DDC"/>
    <w:rsid w:val="60DE27BA"/>
    <w:rsid w:val="611210FD"/>
    <w:rsid w:val="61370674"/>
    <w:rsid w:val="616870B9"/>
    <w:rsid w:val="618935FD"/>
    <w:rsid w:val="618F45CC"/>
    <w:rsid w:val="6199126F"/>
    <w:rsid w:val="61A16DE5"/>
    <w:rsid w:val="61CF0D77"/>
    <w:rsid w:val="61F6325B"/>
    <w:rsid w:val="61F8107E"/>
    <w:rsid w:val="620949CD"/>
    <w:rsid w:val="621271A4"/>
    <w:rsid w:val="62302E55"/>
    <w:rsid w:val="623753C2"/>
    <w:rsid w:val="626D4A1A"/>
    <w:rsid w:val="628A1CF2"/>
    <w:rsid w:val="62B00933"/>
    <w:rsid w:val="62D859BC"/>
    <w:rsid w:val="62FB4937"/>
    <w:rsid w:val="62FD071E"/>
    <w:rsid w:val="63002E24"/>
    <w:rsid w:val="635534A0"/>
    <w:rsid w:val="637D6ABB"/>
    <w:rsid w:val="63AC28D0"/>
    <w:rsid w:val="63B06E30"/>
    <w:rsid w:val="63B517F4"/>
    <w:rsid w:val="63FC4266"/>
    <w:rsid w:val="6409248D"/>
    <w:rsid w:val="644003BE"/>
    <w:rsid w:val="64504850"/>
    <w:rsid w:val="645C250A"/>
    <w:rsid w:val="64606DCD"/>
    <w:rsid w:val="646C4ABE"/>
    <w:rsid w:val="646D3D35"/>
    <w:rsid w:val="647318F8"/>
    <w:rsid w:val="64756B21"/>
    <w:rsid w:val="647F6E6C"/>
    <w:rsid w:val="64857C2C"/>
    <w:rsid w:val="648C2324"/>
    <w:rsid w:val="64B84AEC"/>
    <w:rsid w:val="64D16F64"/>
    <w:rsid w:val="64EC6F7C"/>
    <w:rsid w:val="64F2403B"/>
    <w:rsid w:val="64F24D1F"/>
    <w:rsid w:val="64FC02AA"/>
    <w:rsid w:val="65231279"/>
    <w:rsid w:val="65451625"/>
    <w:rsid w:val="656E5EAC"/>
    <w:rsid w:val="656F3D75"/>
    <w:rsid w:val="65D46D17"/>
    <w:rsid w:val="66027926"/>
    <w:rsid w:val="662A5C2E"/>
    <w:rsid w:val="662C2783"/>
    <w:rsid w:val="666013CA"/>
    <w:rsid w:val="6670497B"/>
    <w:rsid w:val="668B0587"/>
    <w:rsid w:val="669F62CE"/>
    <w:rsid w:val="66A2075C"/>
    <w:rsid w:val="66AA5F60"/>
    <w:rsid w:val="66B64AA9"/>
    <w:rsid w:val="66C1764A"/>
    <w:rsid w:val="66D44E31"/>
    <w:rsid w:val="672A187B"/>
    <w:rsid w:val="674143F3"/>
    <w:rsid w:val="67555F81"/>
    <w:rsid w:val="677118A4"/>
    <w:rsid w:val="6773479F"/>
    <w:rsid w:val="678375D1"/>
    <w:rsid w:val="678D2717"/>
    <w:rsid w:val="67A20A49"/>
    <w:rsid w:val="67DA5B81"/>
    <w:rsid w:val="67E532F1"/>
    <w:rsid w:val="67F11A8F"/>
    <w:rsid w:val="680F2E3A"/>
    <w:rsid w:val="686B1DAC"/>
    <w:rsid w:val="68795A30"/>
    <w:rsid w:val="687A2FB2"/>
    <w:rsid w:val="68B32E14"/>
    <w:rsid w:val="68D135AE"/>
    <w:rsid w:val="68F05962"/>
    <w:rsid w:val="69373591"/>
    <w:rsid w:val="69622F46"/>
    <w:rsid w:val="698E389E"/>
    <w:rsid w:val="69AB7F9E"/>
    <w:rsid w:val="69AC1FA6"/>
    <w:rsid w:val="69BF51F2"/>
    <w:rsid w:val="69C52F3C"/>
    <w:rsid w:val="69E57659"/>
    <w:rsid w:val="6A217ABC"/>
    <w:rsid w:val="6A26009C"/>
    <w:rsid w:val="6A2E586E"/>
    <w:rsid w:val="6A3128CC"/>
    <w:rsid w:val="6A8858B8"/>
    <w:rsid w:val="6AA41701"/>
    <w:rsid w:val="6ABD64B3"/>
    <w:rsid w:val="6AE36244"/>
    <w:rsid w:val="6AF456E9"/>
    <w:rsid w:val="6B052CDB"/>
    <w:rsid w:val="6B231BFB"/>
    <w:rsid w:val="6B575897"/>
    <w:rsid w:val="6B755743"/>
    <w:rsid w:val="6B7C2583"/>
    <w:rsid w:val="6BC87ABB"/>
    <w:rsid w:val="6BDB0BE7"/>
    <w:rsid w:val="6BE66EEB"/>
    <w:rsid w:val="6C2F6236"/>
    <w:rsid w:val="6C313EDE"/>
    <w:rsid w:val="6C47188D"/>
    <w:rsid w:val="6C6802E2"/>
    <w:rsid w:val="6CE00CC7"/>
    <w:rsid w:val="6D6040E0"/>
    <w:rsid w:val="6D8139F9"/>
    <w:rsid w:val="6DA6732A"/>
    <w:rsid w:val="6DA80A41"/>
    <w:rsid w:val="6DAA2614"/>
    <w:rsid w:val="6DE54519"/>
    <w:rsid w:val="6DEF33A1"/>
    <w:rsid w:val="6E154CC6"/>
    <w:rsid w:val="6E1D037C"/>
    <w:rsid w:val="6E2751A2"/>
    <w:rsid w:val="6E7A5A23"/>
    <w:rsid w:val="6EAD2E23"/>
    <w:rsid w:val="6EC82197"/>
    <w:rsid w:val="6EFC7E37"/>
    <w:rsid w:val="6F1252D3"/>
    <w:rsid w:val="6F1400C2"/>
    <w:rsid w:val="6F8933ED"/>
    <w:rsid w:val="6F9A64B6"/>
    <w:rsid w:val="6FD45768"/>
    <w:rsid w:val="6FEF1511"/>
    <w:rsid w:val="6FF454D5"/>
    <w:rsid w:val="700E23C1"/>
    <w:rsid w:val="701E56CD"/>
    <w:rsid w:val="703D0055"/>
    <w:rsid w:val="704C11C8"/>
    <w:rsid w:val="70591B84"/>
    <w:rsid w:val="70A64031"/>
    <w:rsid w:val="70E531C7"/>
    <w:rsid w:val="71021D06"/>
    <w:rsid w:val="712E298D"/>
    <w:rsid w:val="7134459E"/>
    <w:rsid w:val="714B4182"/>
    <w:rsid w:val="716F0012"/>
    <w:rsid w:val="7188171B"/>
    <w:rsid w:val="718E65C0"/>
    <w:rsid w:val="71922B95"/>
    <w:rsid w:val="71D57458"/>
    <w:rsid w:val="71F10071"/>
    <w:rsid w:val="71F36A9E"/>
    <w:rsid w:val="71FD4FD6"/>
    <w:rsid w:val="72813552"/>
    <w:rsid w:val="72C81F1C"/>
    <w:rsid w:val="72CA4677"/>
    <w:rsid w:val="72EE4A60"/>
    <w:rsid w:val="72F96E40"/>
    <w:rsid w:val="73340BEB"/>
    <w:rsid w:val="734164B8"/>
    <w:rsid w:val="73430CDF"/>
    <w:rsid w:val="7347555E"/>
    <w:rsid w:val="737C72AC"/>
    <w:rsid w:val="73984349"/>
    <w:rsid w:val="73A23BDC"/>
    <w:rsid w:val="747222FC"/>
    <w:rsid w:val="74832F17"/>
    <w:rsid w:val="749F045F"/>
    <w:rsid w:val="749F6ED0"/>
    <w:rsid w:val="74B32C36"/>
    <w:rsid w:val="74D01569"/>
    <w:rsid w:val="74D4347F"/>
    <w:rsid w:val="75235E82"/>
    <w:rsid w:val="75251FE7"/>
    <w:rsid w:val="752932D7"/>
    <w:rsid w:val="752A37CD"/>
    <w:rsid w:val="752B3AF9"/>
    <w:rsid w:val="755F1506"/>
    <w:rsid w:val="756B50F1"/>
    <w:rsid w:val="756C7FC4"/>
    <w:rsid w:val="75794C54"/>
    <w:rsid w:val="759B7A8F"/>
    <w:rsid w:val="75B45305"/>
    <w:rsid w:val="75D62507"/>
    <w:rsid w:val="76157151"/>
    <w:rsid w:val="761B1C33"/>
    <w:rsid w:val="76334E23"/>
    <w:rsid w:val="763522F7"/>
    <w:rsid w:val="767C428B"/>
    <w:rsid w:val="767D7B65"/>
    <w:rsid w:val="76947F15"/>
    <w:rsid w:val="76AF0EAF"/>
    <w:rsid w:val="76B45A75"/>
    <w:rsid w:val="76C41703"/>
    <w:rsid w:val="76FF4F5A"/>
    <w:rsid w:val="771C7CF8"/>
    <w:rsid w:val="77307452"/>
    <w:rsid w:val="774B6F62"/>
    <w:rsid w:val="77900D4D"/>
    <w:rsid w:val="77A11AA2"/>
    <w:rsid w:val="784045D9"/>
    <w:rsid w:val="786105E5"/>
    <w:rsid w:val="78A447AC"/>
    <w:rsid w:val="78AC617E"/>
    <w:rsid w:val="78C32B69"/>
    <w:rsid w:val="79057454"/>
    <w:rsid w:val="79B57FF6"/>
    <w:rsid w:val="79BA3F66"/>
    <w:rsid w:val="79C760FA"/>
    <w:rsid w:val="79CC2FD8"/>
    <w:rsid w:val="79E52F5E"/>
    <w:rsid w:val="7A5A342A"/>
    <w:rsid w:val="7A887822"/>
    <w:rsid w:val="7ADE00E9"/>
    <w:rsid w:val="7AEC547E"/>
    <w:rsid w:val="7B0946F5"/>
    <w:rsid w:val="7B7E45EA"/>
    <w:rsid w:val="7BC662C8"/>
    <w:rsid w:val="7C152C4D"/>
    <w:rsid w:val="7C413BF6"/>
    <w:rsid w:val="7C9A1340"/>
    <w:rsid w:val="7CAE7435"/>
    <w:rsid w:val="7CBD2FAD"/>
    <w:rsid w:val="7CE17A31"/>
    <w:rsid w:val="7CED1E3C"/>
    <w:rsid w:val="7D006630"/>
    <w:rsid w:val="7D14770E"/>
    <w:rsid w:val="7D154AFB"/>
    <w:rsid w:val="7D3D0043"/>
    <w:rsid w:val="7D7B200D"/>
    <w:rsid w:val="7D9A494B"/>
    <w:rsid w:val="7E0308E6"/>
    <w:rsid w:val="7E0340E8"/>
    <w:rsid w:val="7E055B1C"/>
    <w:rsid w:val="7E292085"/>
    <w:rsid w:val="7E2E649F"/>
    <w:rsid w:val="7E791135"/>
    <w:rsid w:val="7E9B4C4E"/>
    <w:rsid w:val="7EF87C03"/>
    <w:rsid w:val="7EFF5357"/>
    <w:rsid w:val="7F2A2BDC"/>
    <w:rsid w:val="7F2B0160"/>
    <w:rsid w:val="7F5D6D52"/>
    <w:rsid w:val="7FDB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Body Text"/>
    <w:basedOn w:val="1"/>
    <w:unhideWhenUsed/>
    <w:qFormat/>
    <w:uiPriority w:val="99"/>
    <w:pPr>
      <w:widowControl/>
      <w:jc w:val="left"/>
    </w:pPr>
    <w:rPr>
      <w:rFonts w:asciiTheme="minorHAnsi" w:hAnsiTheme="minorHAnsi" w:eastAsiaTheme="minorEastAsia" w:cstheme="minorBidi"/>
      <w:szCs w:val="22"/>
    </w:rPr>
  </w:style>
  <w:style w:type="paragraph" w:styleId="5">
    <w:name w:val="Body Text Indent"/>
    <w:basedOn w:val="1"/>
    <w:unhideWhenUsed/>
    <w:qFormat/>
    <w:uiPriority w:val="99"/>
    <w:pPr>
      <w:ind w:firstLine="600" w:firstLineChars="200"/>
    </w:pPr>
    <w:rPr>
      <w:rFonts w:asciiTheme="minorHAnsi" w:hAnsiTheme="minorHAnsi" w:eastAsiaTheme="minorEastAsia" w:cstheme="minorBidi"/>
      <w:sz w:val="30"/>
      <w:szCs w:val="22"/>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2"/>
    <w:next w:val="1"/>
    <w:qFormat/>
    <w:uiPriority w:val="0"/>
    <w:pPr>
      <w:spacing w:beforeLines="50" w:afterLines="50" w:line="240" w:lineRule="auto"/>
    </w:pPr>
    <w:rPr>
      <w:rFonts w:ascii="楷体" w:hAnsi="楷体" w:eastAsia="楷体" w:cs="Times New Roman"/>
      <w:sz w:val="28"/>
      <w:szCs w:val="28"/>
    </w:rPr>
  </w:style>
  <w:style w:type="paragraph" w:styleId="9">
    <w:name w:val="Body Text First Indent 2"/>
    <w:basedOn w:val="5"/>
    <w:semiHidden/>
    <w:unhideWhenUsed/>
    <w:qFormat/>
    <w:uiPriority w:val="99"/>
    <w:pPr>
      <w:spacing w:after="120"/>
      <w:ind w:left="420" w:leftChars="200" w:firstLine="420"/>
    </w:pPr>
    <w:rPr>
      <w:rFonts w:ascii="Times New Roman" w:hAnsi="Times New Roman" w:eastAsia="宋体" w:cs="Times New Roman"/>
      <w:sz w:val="21"/>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Body1"/>
    <w:basedOn w:val="1"/>
    <w:qFormat/>
    <w:uiPriority w:val="0"/>
    <w:pPr>
      <w:spacing w:afterLines="50" w:line="360" w:lineRule="auto"/>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2024-07-30T09:52:00Z</dcterms:created>
  <dc:creator>zh-zhangenhao</dc:creator>
  <cp:lastModifiedBy>张恩浩</cp:lastModifiedBy>
  <dcterms:modified xsi:type="dcterms:W3CDTF">2025-06-23T02:59:25Z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B035B8765B5743BB8DD040E494FAD50E</vt:lpwstr>
  </property>
</Properties>
</file>