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2C3D">
      <w:pPr>
        <w:adjustRightInd w:val="0"/>
        <w:snapToGrid w:val="0"/>
        <w:spacing w:line="360" w:lineRule="auto"/>
        <w:outlineLvl w:val="0"/>
        <w:rPr>
          <w:rFonts w:hint="eastAsia" w:ascii="宋体" w:hAnsi="宋体"/>
          <w:b/>
          <w:snapToGrid w:val="0"/>
          <w:spacing w:val="-10"/>
          <w:w w:val="90"/>
          <w:sz w:val="28"/>
          <w:lang w:val="en-US" w:eastAsia="zh-CN"/>
        </w:rPr>
      </w:pPr>
      <w:bookmarkStart w:id="23" w:name="_GoBack"/>
      <w:bookmarkEnd w:id="23"/>
      <w:r>
        <w:rPr>
          <w:rFonts w:hint="eastAsia" w:ascii="宋体" w:hAnsi="宋体"/>
          <w:b/>
          <w:snapToGrid w:val="0"/>
          <w:spacing w:val="-10"/>
          <w:w w:val="90"/>
          <w:sz w:val="28"/>
        </w:rPr>
        <w:t>附件1：</w:t>
      </w:r>
      <w:r>
        <w:rPr>
          <w:rFonts w:hint="eastAsia" w:ascii="宋体" w:hAnsi="宋体"/>
          <w:b/>
          <w:snapToGrid w:val="0"/>
          <w:spacing w:val="-10"/>
          <w:w w:val="90"/>
          <w:sz w:val="28"/>
          <w:lang w:val="en-US" w:eastAsia="zh-CN"/>
        </w:rPr>
        <w:t>单一来源论证意见单</w:t>
      </w:r>
    </w:p>
    <w:p w14:paraId="021E7164">
      <w:pPr>
        <w:pStyle w:val="2"/>
        <w:rPr>
          <w:rFonts w:hint="eastAsia" w:ascii="宋体" w:hAnsi="宋体"/>
          <w:b/>
          <w:snapToGrid w:val="0"/>
          <w:spacing w:val="-10"/>
          <w:w w:val="90"/>
          <w:sz w:val="28"/>
          <w:lang w:val="en-US" w:eastAsia="zh-CN"/>
        </w:rPr>
      </w:pPr>
      <w:r>
        <w:drawing>
          <wp:inline distT="0" distB="0" distL="114300" distR="114300">
            <wp:extent cx="5107940" cy="7005955"/>
            <wp:effectExtent l="0" t="0" r="1016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107940" cy="7005955"/>
                    </a:xfrm>
                    <a:prstGeom prst="rect">
                      <a:avLst/>
                    </a:prstGeom>
                    <a:noFill/>
                    <a:ln>
                      <a:noFill/>
                    </a:ln>
                  </pic:spPr>
                </pic:pic>
              </a:graphicData>
            </a:graphic>
          </wp:inline>
        </w:drawing>
      </w:r>
    </w:p>
    <w:p w14:paraId="39DF3659">
      <w:pPr>
        <w:pStyle w:val="3"/>
        <w:rPr>
          <w:rFonts w:hint="default"/>
          <w:lang w:val="en-US" w:eastAsia="zh-CN"/>
        </w:rPr>
      </w:pPr>
    </w:p>
    <w:p w14:paraId="268F202F">
      <w:pPr>
        <w:adjustRightInd w:val="0"/>
        <w:snapToGrid w:val="0"/>
        <w:spacing w:line="360" w:lineRule="auto"/>
        <w:outlineLvl w:val="0"/>
        <w:rPr>
          <w:rFonts w:hint="eastAsia" w:ascii="宋体" w:hAnsi="宋体"/>
          <w:b/>
          <w:snapToGrid w:val="0"/>
          <w:spacing w:val="-10"/>
          <w:w w:val="90"/>
          <w:sz w:val="28"/>
        </w:rPr>
        <w:sectPr>
          <w:pgSz w:w="11906" w:h="16838"/>
          <w:pgMar w:top="2098" w:right="1474" w:bottom="1984" w:left="1587" w:header="851" w:footer="1412" w:gutter="0"/>
          <w:pgNumType w:fmt="decimal" w:start="0"/>
          <w:cols w:space="720" w:num="1"/>
          <w:docGrid w:type="lines" w:linePitch="312" w:charSpace="0"/>
        </w:sectPr>
      </w:pPr>
    </w:p>
    <w:p w14:paraId="4D846F81">
      <w:pPr>
        <w:adjustRightInd w:val="0"/>
        <w:snapToGrid w:val="0"/>
        <w:spacing w:line="360" w:lineRule="auto"/>
        <w:outlineLvl w:val="0"/>
        <w:rPr>
          <w:rFonts w:ascii="宋体" w:hAnsi="宋体"/>
          <w:b/>
          <w:snapToGrid w:val="0"/>
          <w:spacing w:val="-10"/>
          <w:w w:val="90"/>
          <w:sz w:val="24"/>
        </w:rPr>
      </w:pPr>
      <w:r>
        <w:rPr>
          <w:rFonts w:hint="eastAsia" w:ascii="宋体" w:hAnsi="宋体"/>
          <w:b/>
          <w:snapToGrid w:val="0"/>
          <w:spacing w:val="-10"/>
          <w:w w:val="90"/>
          <w:sz w:val="28"/>
        </w:rPr>
        <w:t>附件</w:t>
      </w:r>
      <w:r>
        <w:rPr>
          <w:rFonts w:hint="eastAsia" w:ascii="宋体" w:hAnsi="宋体"/>
          <w:b/>
          <w:snapToGrid w:val="0"/>
          <w:spacing w:val="-10"/>
          <w:w w:val="90"/>
          <w:sz w:val="28"/>
          <w:lang w:val="en-US" w:eastAsia="zh-CN"/>
        </w:rPr>
        <w:t>2</w:t>
      </w:r>
      <w:r>
        <w:rPr>
          <w:rFonts w:hint="eastAsia" w:ascii="宋体" w:hAnsi="宋体"/>
          <w:b/>
          <w:snapToGrid w:val="0"/>
          <w:spacing w:val="-10"/>
          <w:w w:val="90"/>
          <w:sz w:val="28"/>
        </w:rPr>
        <w:t>：采购需求</w:t>
      </w:r>
    </w:p>
    <w:p w14:paraId="7D04C577">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3EF66885">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382678B8">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6311A945">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0F20EE84">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0FCF8642">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57712006">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1C2841C0">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71B332C5">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p>
    <w:p w14:paraId="26E96B6A">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2025年联合开发系统（SWIFT ISO报文</w:t>
      </w:r>
    </w:p>
    <w:p w14:paraId="0DAC2DD2">
      <w:pPr>
        <w:keepNext w:val="0"/>
        <w:keepLines w:val="0"/>
        <w:pageBreakBefore w:val="0"/>
        <w:widowControl w:val="0"/>
        <w:kinsoku/>
        <w:wordWrap/>
        <w:overflowPunct/>
        <w:topLinePunct w:val="0"/>
        <w:autoSpaceDE/>
        <w:autoSpaceDN/>
        <w:bidi w:val="0"/>
        <w:adjustRightInd/>
        <w:snapToGrid/>
        <w:spacing w:beforeLines="0" w:afterLines="0" w:line="660" w:lineRule="exact"/>
        <w:jc w:val="center"/>
        <w:textAlignment w:val="auto"/>
        <w:rPr>
          <w:rFonts w:hint="eastAsia" w:ascii="华文中宋" w:hAnsi="华文中宋" w:eastAsia="华文中宋" w:cs="华文中宋"/>
          <w:b w:val="0"/>
          <w:bCs/>
          <w:color w:val="auto"/>
          <w:sz w:val="40"/>
          <w:szCs w:val="40"/>
          <w:lang w:val="en-US" w:eastAsia="zh-CN"/>
        </w:rPr>
      </w:pPr>
      <w:r>
        <w:rPr>
          <w:rFonts w:hint="eastAsia" w:ascii="华文中宋" w:hAnsi="华文中宋" w:eastAsia="华文中宋" w:cs="华文中宋"/>
          <w:b w:val="0"/>
          <w:bCs/>
          <w:color w:val="auto"/>
          <w:sz w:val="44"/>
          <w:szCs w:val="44"/>
        </w:rPr>
        <w:t>升级需求）实施项目需求</w:t>
      </w:r>
    </w:p>
    <w:p w14:paraId="1B90975B">
      <w:pPr>
        <w:pStyle w:val="18"/>
        <w:rPr>
          <w:rFonts w:hint="eastAsia" w:ascii="华文中宋" w:hAnsi="华文中宋" w:eastAsia="华文中宋" w:cs="华文中宋"/>
          <w:b w:val="0"/>
          <w:bCs/>
          <w:color w:val="auto"/>
          <w:sz w:val="40"/>
          <w:szCs w:val="40"/>
        </w:rPr>
        <w:sectPr>
          <w:pgSz w:w="11906" w:h="16838"/>
          <w:pgMar w:top="2098" w:right="1474" w:bottom="1984" w:left="1587" w:header="851" w:footer="1412" w:gutter="0"/>
          <w:pgNumType w:fmt="decimal" w:start="0"/>
          <w:cols w:space="720" w:num="1"/>
          <w:docGrid w:type="lines" w:linePitch="312" w:charSpace="0"/>
        </w:sectPr>
      </w:pPr>
    </w:p>
    <w:p w14:paraId="6EDE53DF">
      <w:pPr>
        <w:pStyle w:val="17"/>
        <w:rPr>
          <w:rFonts w:hint="eastAsia"/>
        </w:rPr>
      </w:pPr>
    </w:p>
    <w:p w14:paraId="5C90B78C">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sz w:val="36"/>
          <w:szCs w:val="44"/>
        </w:rPr>
      </w:pPr>
      <w:r>
        <w:rPr>
          <w:rFonts w:hint="eastAsia" w:ascii="黑体" w:hAnsi="黑体" w:eastAsia="黑体" w:cs="黑体"/>
          <w:sz w:val="36"/>
          <w:szCs w:val="44"/>
        </w:rPr>
        <w:t>目</w:t>
      </w:r>
      <w:r>
        <w:rPr>
          <w:rFonts w:hint="eastAsia" w:ascii="黑体" w:hAnsi="黑体" w:eastAsia="黑体" w:cs="黑体"/>
          <w:sz w:val="36"/>
          <w:szCs w:val="44"/>
          <w:lang w:val="en-US" w:eastAsia="zh-CN"/>
        </w:rPr>
        <w:t xml:space="preserve"> </w:t>
      </w:r>
      <w:r>
        <w:rPr>
          <w:rFonts w:hint="eastAsia" w:ascii="黑体" w:hAnsi="黑体" w:eastAsia="黑体" w:cs="黑体"/>
          <w:sz w:val="36"/>
          <w:szCs w:val="44"/>
        </w:rPr>
        <w:t>录</w:t>
      </w:r>
    </w:p>
    <w:p w14:paraId="0F68C9EF">
      <w:pPr>
        <w:pStyle w:val="14"/>
        <w:tabs>
          <w:tab w:val="right" w:leader="dot" w:pos="8845"/>
        </w:tabs>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TOC \o "1-1" \h \u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_Toc6182 </w:instrText>
      </w:r>
      <w:r>
        <w:rPr>
          <w:rFonts w:hint="eastAsia" w:ascii="楷体_GB2312" w:hAnsi="楷体_GB2312" w:eastAsia="楷体_GB2312" w:cs="楷体_GB2312"/>
          <w:szCs w:val="32"/>
        </w:rPr>
        <w:fldChar w:fldCharType="separate"/>
      </w:r>
      <w:r>
        <w:rPr>
          <w:rFonts w:ascii="Times New Roman" w:hAnsi="黑体" w:eastAsia="黑体"/>
          <w:bCs w:val="0"/>
        </w:rPr>
        <w:t>一、项目介绍</w:t>
      </w:r>
      <w:r>
        <w:tab/>
      </w:r>
      <w:r>
        <w:fldChar w:fldCharType="begin"/>
      </w:r>
      <w:r>
        <w:instrText xml:space="preserve"> PAGEREF _Toc6182 \h </w:instrText>
      </w:r>
      <w:r>
        <w:fldChar w:fldCharType="separate"/>
      </w:r>
      <w:r>
        <w:t>1</w:t>
      </w:r>
      <w:r>
        <w:fldChar w:fldCharType="end"/>
      </w:r>
      <w:r>
        <w:rPr>
          <w:rFonts w:hint="eastAsia" w:ascii="楷体_GB2312" w:hAnsi="楷体_GB2312" w:eastAsia="楷体_GB2312" w:cs="楷体_GB2312"/>
          <w:szCs w:val="32"/>
        </w:rPr>
        <w:fldChar w:fldCharType="end"/>
      </w:r>
    </w:p>
    <w:p w14:paraId="4C5A48D8">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_Toc17696 </w:instrText>
      </w:r>
      <w:r>
        <w:rPr>
          <w:rFonts w:hint="eastAsia" w:ascii="楷体_GB2312" w:hAnsi="楷体_GB2312" w:eastAsia="楷体_GB2312" w:cs="楷体_GB2312"/>
          <w:szCs w:val="32"/>
        </w:rPr>
        <w:fldChar w:fldCharType="separate"/>
      </w:r>
      <w:r>
        <w:rPr>
          <w:rFonts w:ascii="Times New Roman" w:hAnsi="黑体" w:eastAsia="黑体" w:cs="Times New Roman"/>
          <w:bCs w:val="0"/>
        </w:rPr>
        <w:t>二、服务一览表</w:t>
      </w:r>
      <w:r>
        <w:tab/>
      </w:r>
      <w:r>
        <w:fldChar w:fldCharType="begin"/>
      </w:r>
      <w:r>
        <w:instrText xml:space="preserve"> PAGEREF _Toc17696 \h </w:instrText>
      </w:r>
      <w:r>
        <w:fldChar w:fldCharType="separate"/>
      </w:r>
      <w:r>
        <w:t>1</w:t>
      </w:r>
      <w:r>
        <w:fldChar w:fldCharType="end"/>
      </w:r>
      <w:r>
        <w:rPr>
          <w:rFonts w:hint="eastAsia" w:ascii="楷体_GB2312" w:hAnsi="楷体_GB2312" w:eastAsia="楷体_GB2312" w:cs="楷体_GB2312"/>
          <w:szCs w:val="32"/>
        </w:rPr>
        <w:fldChar w:fldCharType="end"/>
      </w:r>
    </w:p>
    <w:p w14:paraId="77F070BC">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_Toc6214 </w:instrText>
      </w:r>
      <w:r>
        <w:rPr>
          <w:rFonts w:hint="eastAsia" w:ascii="楷体_GB2312" w:hAnsi="楷体_GB2312" w:eastAsia="楷体_GB2312" w:cs="楷体_GB2312"/>
          <w:szCs w:val="32"/>
        </w:rPr>
        <w:fldChar w:fldCharType="separate"/>
      </w:r>
      <w:r>
        <w:rPr>
          <w:rFonts w:hint="eastAsia" w:ascii="Times New Roman" w:hAnsi="黑体" w:eastAsia="黑体"/>
          <w:bCs w:val="0"/>
          <w:lang w:val="en-US" w:eastAsia="zh-CN"/>
        </w:rPr>
        <w:t>三、业务要求</w:t>
      </w:r>
      <w:r>
        <w:tab/>
      </w:r>
      <w:r>
        <w:fldChar w:fldCharType="begin"/>
      </w:r>
      <w:r>
        <w:instrText xml:space="preserve"> PAGEREF _Toc6214 \h </w:instrText>
      </w:r>
      <w:r>
        <w:fldChar w:fldCharType="separate"/>
      </w:r>
      <w:r>
        <w:t>2</w:t>
      </w:r>
      <w:r>
        <w:fldChar w:fldCharType="end"/>
      </w:r>
      <w:r>
        <w:rPr>
          <w:rFonts w:hint="eastAsia" w:ascii="楷体_GB2312" w:hAnsi="楷体_GB2312" w:eastAsia="楷体_GB2312" w:cs="楷体_GB2312"/>
          <w:szCs w:val="32"/>
        </w:rPr>
        <w:fldChar w:fldCharType="end"/>
      </w:r>
    </w:p>
    <w:p w14:paraId="54D49D18">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_Toc30086 </w:instrText>
      </w:r>
      <w:r>
        <w:rPr>
          <w:rFonts w:hint="eastAsia" w:ascii="楷体_GB2312" w:hAnsi="楷体_GB2312" w:eastAsia="楷体_GB2312" w:cs="楷体_GB2312"/>
          <w:szCs w:val="32"/>
        </w:rPr>
        <w:fldChar w:fldCharType="separate"/>
      </w:r>
      <w:r>
        <w:rPr>
          <w:rFonts w:hint="eastAsia" w:ascii="Times New Roman" w:hAnsi="黑体" w:eastAsia="黑体" w:cs="Times New Roman"/>
          <w:bCs w:val="0"/>
          <w:lang w:val="en-US" w:eastAsia="zh-CN"/>
        </w:rPr>
        <w:t>四、技术要求</w:t>
      </w:r>
      <w:r>
        <w:tab/>
      </w:r>
      <w:r>
        <w:fldChar w:fldCharType="begin"/>
      </w:r>
      <w:r>
        <w:instrText xml:space="preserve"> PAGEREF _Toc30086 \h </w:instrText>
      </w:r>
      <w:r>
        <w:fldChar w:fldCharType="separate"/>
      </w:r>
      <w:r>
        <w:t>2</w:t>
      </w:r>
      <w:r>
        <w:fldChar w:fldCharType="end"/>
      </w:r>
      <w:r>
        <w:rPr>
          <w:rFonts w:hint="eastAsia" w:ascii="楷体_GB2312" w:hAnsi="楷体_GB2312" w:eastAsia="楷体_GB2312" w:cs="楷体_GB2312"/>
          <w:szCs w:val="32"/>
        </w:rPr>
        <w:fldChar w:fldCharType="end"/>
      </w:r>
    </w:p>
    <w:p w14:paraId="390ABC41">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_Toc27358 </w:instrText>
      </w:r>
      <w:r>
        <w:rPr>
          <w:rFonts w:hint="eastAsia" w:ascii="楷体_GB2312" w:hAnsi="楷体_GB2312" w:eastAsia="楷体_GB2312" w:cs="楷体_GB2312"/>
          <w:szCs w:val="32"/>
        </w:rPr>
        <w:fldChar w:fldCharType="separate"/>
      </w:r>
      <w:r>
        <w:rPr>
          <w:rFonts w:hint="eastAsia" w:ascii="Times New Roman" w:hAnsi="黑体" w:eastAsia="黑体"/>
          <w:bCs w:val="0"/>
          <w:lang w:val="en-US" w:eastAsia="zh-CN"/>
        </w:rPr>
        <w:t>五</w:t>
      </w:r>
      <w:r>
        <w:rPr>
          <w:rFonts w:ascii="Times New Roman" w:hAnsi="黑体" w:eastAsia="黑体"/>
          <w:bCs w:val="0"/>
        </w:rPr>
        <w:t>、服务要求</w:t>
      </w:r>
      <w:r>
        <w:tab/>
      </w:r>
      <w:r>
        <w:fldChar w:fldCharType="begin"/>
      </w:r>
      <w:r>
        <w:instrText xml:space="preserve"> PAGEREF _Toc27358 \h </w:instrText>
      </w:r>
      <w:r>
        <w:fldChar w:fldCharType="separate"/>
      </w:r>
      <w:r>
        <w:t>3</w:t>
      </w:r>
      <w:r>
        <w:fldChar w:fldCharType="end"/>
      </w:r>
      <w:r>
        <w:rPr>
          <w:rFonts w:hint="eastAsia" w:ascii="楷体_GB2312" w:hAnsi="楷体_GB2312" w:eastAsia="楷体_GB2312" w:cs="楷体_GB2312"/>
          <w:szCs w:val="32"/>
        </w:rPr>
        <w:fldChar w:fldCharType="end"/>
      </w:r>
    </w:p>
    <w:p w14:paraId="6FED73B2">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_Toc28670 </w:instrText>
      </w:r>
      <w:r>
        <w:rPr>
          <w:rFonts w:hint="eastAsia" w:ascii="楷体_GB2312" w:hAnsi="楷体_GB2312" w:eastAsia="楷体_GB2312" w:cs="楷体_GB2312"/>
          <w:szCs w:val="32"/>
        </w:rPr>
        <w:fldChar w:fldCharType="separate"/>
      </w:r>
      <w:r>
        <w:rPr>
          <w:rFonts w:hint="eastAsia" w:ascii="Times New Roman" w:hAnsi="黑体" w:eastAsia="黑体" w:cs="Times New Roman"/>
          <w:bCs w:val="0"/>
          <w:lang w:val="en-US" w:eastAsia="zh-CN"/>
        </w:rPr>
        <w:t>六、项目团队要求</w:t>
      </w:r>
      <w:r>
        <w:tab/>
      </w:r>
      <w:r>
        <w:fldChar w:fldCharType="begin"/>
      </w:r>
      <w:r>
        <w:instrText xml:space="preserve"> PAGEREF _Toc28670 \h </w:instrText>
      </w:r>
      <w:r>
        <w:fldChar w:fldCharType="separate"/>
      </w:r>
      <w:r>
        <w:t>8</w:t>
      </w:r>
      <w:r>
        <w:fldChar w:fldCharType="end"/>
      </w:r>
      <w:r>
        <w:rPr>
          <w:rFonts w:hint="eastAsia" w:ascii="楷体_GB2312" w:hAnsi="楷体_GB2312" w:eastAsia="楷体_GB2312" w:cs="楷体_GB2312"/>
          <w:szCs w:val="32"/>
        </w:rPr>
        <w:fldChar w:fldCharType="end"/>
      </w:r>
    </w:p>
    <w:p w14:paraId="07A97126">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_Toc19415 </w:instrText>
      </w:r>
      <w:r>
        <w:rPr>
          <w:rFonts w:hint="eastAsia" w:ascii="楷体_GB2312" w:hAnsi="楷体_GB2312" w:eastAsia="楷体_GB2312" w:cs="楷体_GB2312"/>
          <w:szCs w:val="32"/>
        </w:rPr>
        <w:fldChar w:fldCharType="separate"/>
      </w:r>
      <w:r>
        <w:rPr>
          <w:rFonts w:hint="eastAsia" w:ascii="Times New Roman" w:hAnsi="黑体" w:eastAsia="黑体" w:cs="Times New Roman"/>
          <w:bCs w:val="0"/>
          <w:lang w:val="en-US" w:eastAsia="zh-CN"/>
        </w:rPr>
        <w:t>七、安全要求</w:t>
      </w:r>
      <w:r>
        <w:tab/>
      </w:r>
      <w:r>
        <w:fldChar w:fldCharType="begin"/>
      </w:r>
      <w:r>
        <w:instrText xml:space="preserve"> PAGEREF _Toc19415 \h </w:instrText>
      </w:r>
      <w:r>
        <w:fldChar w:fldCharType="separate"/>
      </w:r>
      <w:r>
        <w:t>9</w:t>
      </w:r>
      <w:r>
        <w:fldChar w:fldCharType="end"/>
      </w:r>
      <w:r>
        <w:rPr>
          <w:rFonts w:hint="eastAsia" w:ascii="楷体_GB2312" w:hAnsi="楷体_GB2312" w:eastAsia="楷体_GB2312" w:cs="楷体_GB2312"/>
          <w:szCs w:val="32"/>
        </w:rPr>
        <w:fldChar w:fldCharType="end"/>
      </w:r>
    </w:p>
    <w:p w14:paraId="1F808165">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_Toc26251 </w:instrText>
      </w:r>
      <w:r>
        <w:rPr>
          <w:rFonts w:hint="eastAsia" w:ascii="楷体_GB2312" w:hAnsi="楷体_GB2312" w:eastAsia="楷体_GB2312" w:cs="楷体_GB2312"/>
          <w:szCs w:val="32"/>
        </w:rPr>
        <w:fldChar w:fldCharType="separate"/>
      </w:r>
      <w:r>
        <w:rPr>
          <w:rFonts w:hint="eastAsia" w:ascii="Times New Roman" w:hAnsi="黑体" w:eastAsia="黑体"/>
          <w:bCs w:val="0"/>
          <w:lang w:val="en-US" w:eastAsia="zh-CN"/>
        </w:rPr>
        <w:t>八</w:t>
      </w:r>
      <w:r>
        <w:rPr>
          <w:rFonts w:ascii="Times New Roman" w:hAnsi="黑体" w:eastAsia="黑体"/>
          <w:bCs w:val="0"/>
        </w:rPr>
        <w:t>、交付或实施时间、地点</w:t>
      </w:r>
      <w:r>
        <w:tab/>
      </w:r>
      <w:r>
        <w:fldChar w:fldCharType="begin"/>
      </w:r>
      <w:r>
        <w:instrText xml:space="preserve"> PAGEREF _Toc26251 \h </w:instrText>
      </w:r>
      <w:r>
        <w:fldChar w:fldCharType="separate"/>
      </w:r>
      <w:r>
        <w:t>10</w:t>
      </w:r>
      <w:r>
        <w:fldChar w:fldCharType="end"/>
      </w:r>
      <w:r>
        <w:rPr>
          <w:rFonts w:hint="eastAsia" w:ascii="楷体_GB2312" w:hAnsi="楷体_GB2312" w:eastAsia="楷体_GB2312" w:cs="楷体_GB2312"/>
          <w:szCs w:val="32"/>
        </w:rPr>
        <w:fldChar w:fldCharType="end"/>
      </w:r>
    </w:p>
    <w:p w14:paraId="511B96E3">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_Toc31718 </w:instrText>
      </w:r>
      <w:r>
        <w:rPr>
          <w:rFonts w:hint="eastAsia" w:ascii="楷体_GB2312" w:hAnsi="楷体_GB2312" w:eastAsia="楷体_GB2312" w:cs="楷体_GB2312"/>
          <w:szCs w:val="32"/>
        </w:rPr>
        <w:fldChar w:fldCharType="separate"/>
      </w:r>
      <w:r>
        <w:rPr>
          <w:rFonts w:hint="eastAsia" w:ascii="Times New Roman" w:hAnsi="黑体" w:eastAsia="黑体"/>
          <w:bCs w:val="0"/>
        </w:rPr>
        <w:t>九、</w:t>
      </w:r>
      <w:r>
        <w:rPr>
          <w:rFonts w:ascii="Times New Roman" w:hAnsi="黑体" w:eastAsia="黑体"/>
          <w:bCs w:val="0"/>
        </w:rPr>
        <w:t>财务支付要求</w:t>
      </w:r>
      <w:r>
        <w:tab/>
      </w:r>
      <w:r>
        <w:fldChar w:fldCharType="begin"/>
      </w:r>
      <w:r>
        <w:instrText xml:space="preserve"> PAGEREF _Toc31718 \h </w:instrText>
      </w:r>
      <w:r>
        <w:fldChar w:fldCharType="separate"/>
      </w:r>
      <w:r>
        <w:t>10</w:t>
      </w:r>
      <w:r>
        <w:fldChar w:fldCharType="end"/>
      </w:r>
      <w:r>
        <w:rPr>
          <w:rFonts w:hint="eastAsia" w:ascii="楷体_GB2312" w:hAnsi="楷体_GB2312" w:eastAsia="楷体_GB2312" w:cs="楷体_GB2312"/>
          <w:szCs w:val="32"/>
        </w:rPr>
        <w:fldChar w:fldCharType="end"/>
      </w:r>
    </w:p>
    <w:p w14:paraId="459C7194">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_Toc31461 </w:instrText>
      </w:r>
      <w:r>
        <w:rPr>
          <w:rFonts w:hint="eastAsia" w:ascii="楷体_GB2312" w:hAnsi="楷体_GB2312" w:eastAsia="楷体_GB2312" w:cs="楷体_GB2312"/>
          <w:szCs w:val="32"/>
        </w:rPr>
        <w:fldChar w:fldCharType="separate"/>
      </w:r>
      <w:r>
        <w:rPr>
          <w:rFonts w:hint="eastAsia" w:ascii="Times New Roman" w:hAnsi="黑体" w:eastAsia="黑体"/>
          <w:bCs w:val="0"/>
          <w:highlight w:val="none"/>
          <w:lang w:val="en-US" w:eastAsia="zh-CN"/>
        </w:rPr>
        <w:t>十</w:t>
      </w:r>
      <w:r>
        <w:rPr>
          <w:rFonts w:ascii="Times New Roman" w:hAnsi="黑体" w:eastAsia="黑体"/>
          <w:bCs w:val="0"/>
          <w:highlight w:val="none"/>
        </w:rPr>
        <w:t>、履约验收方案</w:t>
      </w:r>
      <w:r>
        <w:tab/>
      </w:r>
      <w:r>
        <w:fldChar w:fldCharType="begin"/>
      </w:r>
      <w:r>
        <w:instrText xml:space="preserve"> PAGEREF _Toc31461 \h </w:instrText>
      </w:r>
      <w:r>
        <w:fldChar w:fldCharType="separate"/>
      </w:r>
      <w:r>
        <w:t>11</w:t>
      </w:r>
      <w:r>
        <w:fldChar w:fldCharType="end"/>
      </w:r>
      <w:r>
        <w:rPr>
          <w:rFonts w:hint="eastAsia" w:ascii="楷体_GB2312" w:hAnsi="楷体_GB2312" w:eastAsia="楷体_GB2312" w:cs="楷体_GB2312"/>
          <w:szCs w:val="32"/>
        </w:rPr>
        <w:fldChar w:fldCharType="end"/>
      </w:r>
    </w:p>
    <w:p w14:paraId="172095C6">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_Toc12903 </w:instrText>
      </w:r>
      <w:r>
        <w:rPr>
          <w:rFonts w:hint="eastAsia" w:ascii="楷体_GB2312" w:hAnsi="楷体_GB2312" w:eastAsia="楷体_GB2312" w:cs="楷体_GB2312"/>
          <w:szCs w:val="32"/>
        </w:rPr>
        <w:fldChar w:fldCharType="separate"/>
      </w:r>
      <w:r>
        <w:rPr>
          <w:rFonts w:hint="eastAsia" w:ascii="Times New Roman" w:hAnsi="Times New Roman" w:eastAsia="黑体" w:cs="Times New Roman"/>
          <w:bCs w:val="0"/>
          <w:lang w:val="en-US" w:eastAsia="zh-CN"/>
        </w:rPr>
        <w:t>十一、投标资质要求</w:t>
      </w:r>
      <w:r>
        <w:tab/>
      </w:r>
      <w:r>
        <w:fldChar w:fldCharType="begin"/>
      </w:r>
      <w:r>
        <w:instrText xml:space="preserve"> PAGEREF _Toc12903 \h </w:instrText>
      </w:r>
      <w:r>
        <w:fldChar w:fldCharType="separate"/>
      </w:r>
      <w:r>
        <w:t>14</w:t>
      </w:r>
      <w:r>
        <w:fldChar w:fldCharType="end"/>
      </w:r>
      <w:r>
        <w:rPr>
          <w:rFonts w:hint="eastAsia" w:ascii="楷体_GB2312" w:hAnsi="楷体_GB2312" w:eastAsia="楷体_GB2312" w:cs="楷体_GB2312"/>
          <w:szCs w:val="32"/>
        </w:rPr>
        <w:fldChar w:fldCharType="end"/>
      </w:r>
    </w:p>
    <w:p w14:paraId="6AA25094">
      <w:pPr>
        <w:pStyle w:val="14"/>
        <w:tabs>
          <w:tab w:val="right" w:leader="dot" w:pos="8845"/>
        </w:tabs>
      </w:pPr>
      <w:r>
        <w:rPr>
          <w:rFonts w:hint="eastAsia" w:ascii="楷体_GB2312" w:hAnsi="楷体_GB2312" w:eastAsia="楷体_GB2312" w:cs="楷体_GB2312"/>
          <w:szCs w:val="32"/>
        </w:rPr>
        <w:fldChar w:fldCharType="begin"/>
      </w:r>
      <w:r>
        <w:rPr>
          <w:rFonts w:hint="eastAsia" w:ascii="楷体_GB2312" w:hAnsi="楷体_GB2312" w:eastAsia="楷体_GB2312" w:cs="楷体_GB2312"/>
          <w:szCs w:val="32"/>
        </w:rPr>
        <w:instrText xml:space="preserve"> HYPERLINK \l _Toc22871 </w:instrText>
      </w:r>
      <w:r>
        <w:rPr>
          <w:rFonts w:hint="eastAsia" w:ascii="楷体_GB2312" w:hAnsi="楷体_GB2312" w:eastAsia="楷体_GB2312" w:cs="楷体_GB2312"/>
          <w:szCs w:val="32"/>
        </w:rPr>
        <w:fldChar w:fldCharType="separate"/>
      </w:r>
      <w:r>
        <w:rPr>
          <w:rFonts w:hint="eastAsia" w:ascii="Times New Roman" w:hAnsi="Times New Roman" w:eastAsia="黑体" w:cs="Times New Roman"/>
          <w:bCs w:val="0"/>
          <w:lang w:val="en-US" w:eastAsia="zh-CN"/>
        </w:rPr>
        <w:t>十二、投标人及产品的技术、能力、认证等相关证书</w:t>
      </w:r>
      <w:r>
        <w:tab/>
      </w:r>
      <w:r>
        <w:fldChar w:fldCharType="begin"/>
      </w:r>
      <w:r>
        <w:instrText xml:space="preserve"> PAGEREF _Toc22871 \h </w:instrText>
      </w:r>
      <w:r>
        <w:fldChar w:fldCharType="separate"/>
      </w:r>
      <w:r>
        <w:t>14</w:t>
      </w:r>
      <w:r>
        <w:fldChar w:fldCharType="end"/>
      </w:r>
      <w:r>
        <w:rPr>
          <w:rFonts w:hint="eastAsia" w:ascii="楷体_GB2312" w:hAnsi="楷体_GB2312" w:eastAsia="楷体_GB2312" w:cs="楷体_GB2312"/>
          <w:szCs w:val="32"/>
        </w:rPr>
        <w:fldChar w:fldCharType="end"/>
      </w:r>
    </w:p>
    <w:p w14:paraId="1F52D0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楷体_GB2312" w:hAnsi="楷体_GB2312" w:eastAsia="楷体_GB2312" w:cs="楷体_GB2312"/>
          <w:szCs w:val="32"/>
        </w:rPr>
        <w:fldChar w:fldCharType="end"/>
      </w:r>
    </w:p>
    <w:p w14:paraId="07ECE98E">
      <w:pPr>
        <w:pStyle w:val="15"/>
        <w:keepNext/>
        <w:keepLines/>
        <w:pageBreakBefore w:val="0"/>
        <w:widowControl w:val="0"/>
        <w:kinsoku/>
        <w:wordWrap/>
        <w:overflowPunct/>
        <w:topLinePunct w:val="0"/>
        <w:autoSpaceDE/>
        <w:autoSpaceDN/>
        <w:bidi w:val="0"/>
        <w:adjustRightInd w:val="0"/>
        <w:snapToGrid/>
        <w:spacing w:before="157" w:beforeLines="50" w:after="157" w:afterLines="50" w:line="560" w:lineRule="exact"/>
        <w:ind w:firstLine="640" w:firstLineChars="200"/>
        <w:jc w:val="left"/>
        <w:textAlignment w:val="baseline"/>
        <w:outlineLvl w:val="0"/>
        <w:rPr>
          <w:rFonts w:ascii="Times New Roman" w:hAnsi="Times New Roman" w:eastAsia="黑体"/>
          <w:b w:val="0"/>
          <w:bCs w:val="0"/>
          <w:color w:val="auto"/>
          <w:sz w:val="32"/>
        </w:rPr>
      </w:pPr>
      <w:bookmarkStart w:id="0" w:name="_Toc6182"/>
      <w:r>
        <w:rPr>
          <w:rFonts w:ascii="Times New Roman" w:hAnsi="黑体" w:eastAsia="黑体"/>
          <w:b w:val="0"/>
          <w:bCs w:val="0"/>
          <w:color w:val="auto"/>
          <w:sz w:val="32"/>
        </w:rPr>
        <w:t>一、项目介绍</w:t>
      </w:r>
      <w:bookmarkEnd w:id="0"/>
    </w:p>
    <w:p w14:paraId="5ACFC479">
      <w:pPr>
        <w:pStyle w:val="15"/>
        <w:keepNext/>
        <w:keepLines/>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textAlignment w:val="baseline"/>
        <w:rPr>
          <w:rFonts w:hint="eastAsia" w:ascii="楷体_GB2312" w:hAnsi="楷体_GB2312" w:eastAsia="楷体_GB2312" w:cs="楷体_GB2312"/>
          <w:b w:val="0"/>
          <w:bCs w:val="0"/>
          <w:color w:val="auto"/>
          <w:sz w:val="32"/>
        </w:rPr>
      </w:pPr>
      <w:bookmarkStart w:id="1" w:name="_Toc20375"/>
      <w:bookmarkStart w:id="2" w:name="_Toc14418"/>
      <w:r>
        <w:rPr>
          <w:rFonts w:hint="eastAsia" w:ascii="楷体_GB2312" w:hAnsi="楷体_GB2312" w:eastAsia="楷体_GB2312" w:cs="楷体_GB2312"/>
          <w:b w:val="0"/>
          <w:bCs w:val="0"/>
          <w:color w:val="auto"/>
          <w:sz w:val="32"/>
          <w:lang w:eastAsia="zh-CN"/>
        </w:rPr>
        <w:t>（</w:t>
      </w:r>
      <w:r>
        <w:rPr>
          <w:rFonts w:hint="eastAsia" w:ascii="楷体_GB2312" w:hAnsi="楷体_GB2312" w:eastAsia="楷体_GB2312" w:cs="楷体_GB2312"/>
          <w:b w:val="0"/>
          <w:bCs w:val="0"/>
          <w:color w:val="auto"/>
          <w:sz w:val="32"/>
          <w:lang w:val="en-US" w:eastAsia="zh-CN"/>
        </w:rPr>
        <w:t>一</w:t>
      </w:r>
      <w:r>
        <w:rPr>
          <w:rFonts w:hint="eastAsia" w:ascii="楷体_GB2312" w:hAnsi="楷体_GB2312" w:eastAsia="楷体_GB2312" w:cs="楷体_GB2312"/>
          <w:b w:val="0"/>
          <w:bCs w:val="0"/>
          <w:color w:val="auto"/>
          <w:sz w:val="32"/>
          <w:lang w:eastAsia="zh-CN"/>
        </w:rPr>
        <w:t>）</w:t>
      </w:r>
      <w:r>
        <w:rPr>
          <w:rFonts w:hint="eastAsia" w:ascii="楷体_GB2312" w:hAnsi="楷体_GB2312" w:eastAsia="楷体_GB2312" w:cs="楷体_GB2312"/>
          <w:b w:val="0"/>
          <w:bCs w:val="0"/>
          <w:color w:val="auto"/>
          <w:sz w:val="32"/>
        </w:rPr>
        <w:t>项目背景概述</w:t>
      </w:r>
    </w:p>
    <w:p w14:paraId="4BFB0697">
      <w:pPr>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SWIFT组织于2018年决定采用ISO20022标准进行跨境支付和现金对账单的数据传输，取代现有MT标准。根据SWIFT组织要求，从2022年开始用三年时间分阶段完成支付及报告类业务报文（MT1,2,9）ISO 20022标准迁移工作（以下简称ISO迁移）。其中，2022年11月至2025年11月为MT和ISO标准并行期；至2025年11月，MT1,2,9类报文须全部迁移至ISO标准，之后SWIFT网络上支付类和对账单类报文仅支持ISO 20022标准</w:t>
      </w:r>
      <w:r>
        <w:rPr>
          <w:rFonts w:hint="eastAsia" w:ascii="仿宋_GB2312" w:eastAsia="仿宋_GB2312" w:cs="仿宋_GB2312"/>
          <w:color w:val="000000"/>
          <w:sz w:val="31"/>
          <w:szCs w:val="31"/>
        </w:rPr>
        <w:t>的“跨境支付和报告领域报文”</w:t>
      </w:r>
      <w:r>
        <w:rPr>
          <w:rFonts w:hint="eastAsia" w:ascii="仿宋_GB2312" w:hAnsi="仿宋_GB2312" w:eastAsia="仿宋_GB2312" w:cs="仿宋_GB2312"/>
          <w:sz w:val="32"/>
          <w:szCs w:val="32"/>
          <w:lang w:val="en-US" w:eastAsia="zh-CN"/>
        </w:rPr>
        <w:t>（CBPR+报文）。</w:t>
      </w:r>
    </w:p>
    <w:p w14:paraId="775E8E34">
      <w:pPr>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baseline"/>
        <w:rPr>
          <w:rFonts w:hint="eastAsia" w:ascii="Times New Roman" w:hAnsi="楷体" w:eastAsia="仿宋_GB2312" w:cs="Times New Roman"/>
          <w:b w:val="0"/>
          <w:bCs w:val="0"/>
          <w:color w:val="auto"/>
          <w:sz w:val="32"/>
          <w:szCs w:val="28"/>
          <w:highlight w:val="yellow"/>
          <w:lang w:val="en-US" w:eastAsia="zh-CN"/>
        </w:rPr>
      </w:pPr>
      <w:r>
        <w:rPr>
          <w:rFonts w:hint="eastAsia" w:ascii="仿宋_GB2312" w:hAnsi="仿宋_GB2312" w:eastAsia="仿宋_GB2312" w:cs="仿宋_GB2312"/>
          <w:sz w:val="32"/>
          <w:szCs w:val="32"/>
          <w:lang w:val="en-US" w:eastAsia="zh-CN"/>
        </w:rPr>
        <w:t>为此，我行分两阶段完成ISO迁移和支付系统升级工作：第一阶段已于2023年3月份完成ISO CBPR+报文收报处理功能改造；第二阶段须于2025年11月前完成ISO CBPR+报文发报功能改造，涉及客户汇款、银行间调拨、查询查复、账务报告等业务场景。现</w:t>
      </w:r>
      <w:r>
        <w:rPr>
          <w:rFonts w:hint="default"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lang w:val="en-US" w:eastAsia="zh-CN"/>
        </w:rPr>
        <w:t>将已澄清的8项涉及SWFIT ISO CBPR+报文发报需求作为2025年联合开发系统（SWIFT ISO报文升级需求）采购实施服务。</w:t>
      </w:r>
    </w:p>
    <w:p w14:paraId="63FC9D83">
      <w:pPr>
        <w:pStyle w:val="15"/>
        <w:keepNext/>
        <w:keepLines/>
        <w:pageBreakBefore w:val="0"/>
        <w:widowControl w:val="0"/>
        <w:numPr>
          <w:ilvl w:val="0"/>
          <w:numId w:val="2"/>
        </w:numPr>
        <w:kinsoku/>
        <w:wordWrap/>
        <w:overflowPunct/>
        <w:topLinePunct w:val="0"/>
        <w:autoSpaceDE/>
        <w:autoSpaceDN/>
        <w:bidi w:val="0"/>
        <w:adjustRightInd w:val="0"/>
        <w:snapToGrid/>
        <w:spacing w:before="0" w:beforeLines="0" w:after="0" w:afterLines="0" w:line="560" w:lineRule="exact"/>
        <w:ind w:firstLine="640" w:firstLineChars="200"/>
        <w:textAlignment w:val="baseline"/>
        <w:rPr>
          <w:rFonts w:hint="eastAsia" w:ascii="楷体_GB2312" w:hAnsi="楷体_GB2312" w:eastAsia="楷体_GB2312" w:cs="楷体_GB2312"/>
          <w:b w:val="0"/>
          <w:bCs w:val="0"/>
          <w:color w:val="auto"/>
          <w:sz w:val="32"/>
          <w:lang w:val="en-US" w:eastAsia="zh-CN"/>
        </w:rPr>
      </w:pPr>
      <w:r>
        <w:rPr>
          <w:rFonts w:hint="eastAsia" w:ascii="楷体_GB2312" w:hAnsi="楷体_GB2312" w:eastAsia="楷体_GB2312" w:cs="楷体_GB2312"/>
          <w:b w:val="0"/>
          <w:bCs w:val="0"/>
          <w:color w:val="auto"/>
          <w:sz w:val="32"/>
          <w:lang w:val="en-US" w:eastAsia="zh-CN"/>
        </w:rPr>
        <w:t>需求依据和来源</w:t>
      </w:r>
    </w:p>
    <w:p w14:paraId="503154ED">
      <w:pPr>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SWIFT组织关于跨境支付和现金对账单的数据传输采用ISO20022标准后，我行按计划推进ISO CBPR+报文发报功能改造，涉及所有与SWIFT报文相关的上下游系统。</w:t>
      </w:r>
    </w:p>
    <w:p w14:paraId="0BD36515">
      <w:pPr>
        <w:pStyle w:val="15"/>
        <w:keepNext/>
        <w:keepLines/>
        <w:pageBreakBefore w:val="0"/>
        <w:widowControl w:val="0"/>
        <w:numPr>
          <w:ilvl w:val="0"/>
          <w:numId w:val="2"/>
        </w:numPr>
        <w:kinsoku/>
        <w:wordWrap/>
        <w:overflowPunct/>
        <w:topLinePunct w:val="0"/>
        <w:autoSpaceDE/>
        <w:autoSpaceDN/>
        <w:bidi w:val="0"/>
        <w:adjustRightInd w:val="0"/>
        <w:snapToGrid/>
        <w:spacing w:before="0" w:beforeLines="0" w:after="0" w:afterLines="0" w:line="560" w:lineRule="exact"/>
        <w:ind w:firstLine="640" w:firstLineChars="200"/>
        <w:textAlignment w:val="baseline"/>
        <w:rPr>
          <w:rFonts w:hint="eastAsia" w:ascii="楷体_GB2312" w:hAnsi="楷体_GB2312" w:eastAsia="楷体_GB2312" w:cs="楷体_GB2312"/>
          <w:b w:val="0"/>
          <w:bCs w:val="0"/>
          <w:color w:val="auto"/>
          <w:sz w:val="32"/>
        </w:rPr>
      </w:pPr>
      <w:r>
        <w:rPr>
          <w:rFonts w:hint="eastAsia" w:ascii="楷体_GB2312" w:hAnsi="楷体_GB2312" w:eastAsia="楷体_GB2312" w:cs="楷体_GB2312"/>
          <w:b w:val="0"/>
          <w:bCs w:val="0"/>
          <w:color w:val="auto"/>
          <w:sz w:val="32"/>
        </w:rPr>
        <w:t>功能或目标</w:t>
      </w:r>
    </w:p>
    <w:bookmarkEnd w:id="1"/>
    <w:p w14:paraId="12BBC202">
      <w:pPr>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baseline"/>
        <w:rPr>
          <w:rFonts w:hint="eastAsia" w:ascii="Times New Roman" w:hAnsi="楷体" w:eastAsia="仿宋_GB2312" w:cs="Times New Roman"/>
          <w:b w:val="0"/>
          <w:bCs w:val="0"/>
          <w:color w:val="auto"/>
          <w:sz w:val="32"/>
          <w:szCs w:val="28"/>
          <w:highlight w:val="none"/>
          <w:lang w:val="en-US" w:eastAsia="zh-CN"/>
        </w:rPr>
      </w:pPr>
      <w:bookmarkStart w:id="3" w:name="_Toc16185"/>
      <w:r>
        <w:rPr>
          <w:rFonts w:hint="eastAsia" w:ascii="Times New Roman" w:hAnsi="楷体" w:eastAsia="仿宋_GB2312" w:cs="Times New Roman"/>
          <w:b w:val="0"/>
          <w:bCs w:val="0"/>
          <w:color w:val="auto"/>
          <w:sz w:val="32"/>
          <w:szCs w:val="28"/>
          <w:highlight w:val="none"/>
          <w:lang w:val="en-US" w:eastAsia="zh-CN"/>
        </w:rPr>
        <w:t>按时完成相关系统功能改造，</w:t>
      </w:r>
      <w:r>
        <w:rPr>
          <w:rFonts w:ascii="仿宋_GB2312" w:eastAsia="仿宋_GB2312" w:cs="仿宋_GB2312"/>
          <w:color w:val="000000"/>
          <w:sz w:val="31"/>
          <w:szCs w:val="31"/>
          <w:highlight w:val="none"/>
        </w:rPr>
        <w:t>避免</w:t>
      </w:r>
      <w:r>
        <w:rPr>
          <w:rFonts w:hint="eastAsia" w:ascii="仿宋_GB2312" w:eastAsia="仿宋_GB2312" w:cs="仿宋_GB2312"/>
          <w:color w:val="000000"/>
          <w:sz w:val="31"/>
          <w:szCs w:val="31"/>
          <w:highlight w:val="none"/>
          <w:lang w:val="en-US" w:eastAsia="zh-CN"/>
        </w:rPr>
        <w:t>出现</w:t>
      </w:r>
      <w:r>
        <w:rPr>
          <w:rFonts w:ascii="仿宋_GB2312" w:eastAsia="仿宋_GB2312" w:cs="仿宋_GB2312"/>
          <w:color w:val="000000"/>
          <w:sz w:val="31"/>
          <w:szCs w:val="31"/>
          <w:highlight w:val="none"/>
        </w:rPr>
        <w:t>业务阻断风</w:t>
      </w:r>
      <w:r>
        <w:rPr>
          <w:rFonts w:hint="eastAsia" w:ascii="仿宋_GB2312" w:eastAsia="仿宋_GB2312" w:cs="仿宋_GB2312"/>
          <w:color w:val="000000"/>
          <w:sz w:val="31"/>
          <w:szCs w:val="31"/>
          <w:highlight w:val="none"/>
        </w:rPr>
        <w:t>险</w:t>
      </w:r>
      <w:r>
        <w:rPr>
          <w:rFonts w:hint="eastAsia" w:ascii="仿宋_GB2312" w:eastAsia="仿宋_GB2312" w:cs="仿宋_GB2312"/>
          <w:color w:val="000000"/>
          <w:sz w:val="31"/>
          <w:szCs w:val="31"/>
          <w:highlight w:val="none"/>
          <w:lang w:eastAsia="zh-CN"/>
        </w:rPr>
        <w:t>。</w:t>
      </w:r>
    </w:p>
    <w:p w14:paraId="5F0ABD11">
      <w:pPr>
        <w:pStyle w:val="15"/>
        <w:keepNext/>
        <w:keepLines/>
        <w:pageBreakBefore w:val="0"/>
        <w:widowControl w:val="0"/>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ascii="Times New Roman" w:hAnsi="黑体" w:eastAsia="黑体" w:cs="Times New Roman"/>
          <w:b w:val="0"/>
          <w:bCs w:val="0"/>
          <w:color w:val="auto"/>
          <w:sz w:val="32"/>
        </w:rPr>
      </w:pPr>
      <w:bookmarkStart w:id="4" w:name="_Toc17696"/>
      <w:r>
        <w:rPr>
          <w:rFonts w:ascii="Times New Roman" w:hAnsi="黑体" w:eastAsia="黑体" w:cs="Times New Roman"/>
          <w:b w:val="0"/>
          <w:bCs w:val="0"/>
          <w:color w:val="auto"/>
          <w:sz w:val="32"/>
        </w:rPr>
        <w:t>二、</w:t>
      </w:r>
      <w:bookmarkEnd w:id="2"/>
      <w:r>
        <w:rPr>
          <w:rFonts w:ascii="Times New Roman" w:hAnsi="黑体" w:eastAsia="黑体" w:cs="Times New Roman"/>
          <w:b w:val="0"/>
          <w:bCs w:val="0"/>
          <w:color w:val="auto"/>
          <w:sz w:val="32"/>
        </w:rPr>
        <w:t>服务一览表</w:t>
      </w:r>
      <w:bookmarkEnd w:id="3"/>
      <w:bookmarkEnd w:id="4"/>
    </w:p>
    <w:p w14:paraId="0D9F9354">
      <w:pPr>
        <w:pStyle w:val="18"/>
      </w:pPr>
    </w:p>
    <w:tbl>
      <w:tblPr>
        <w:tblStyle w:val="19"/>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2"/>
        <w:gridCol w:w="6445"/>
      </w:tblGrid>
      <w:tr w14:paraId="0FC5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9" w:type="dxa"/>
            <w:vMerge w:val="restart"/>
            <w:tcBorders>
              <w:top w:val="single" w:color="auto" w:sz="4" w:space="0"/>
              <w:left w:val="single" w:color="auto" w:sz="4" w:space="0"/>
              <w:right w:val="single" w:color="auto" w:sz="4" w:space="0"/>
            </w:tcBorders>
            <w:noWrap w:val="0"/>
            <w:vAlign w:val="center"/>
          </w:tcPr>
          <w:p w14:paraId="6160EAB1">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rPr>
            </w:pPr>
            <w:r>
              <w:rPr>
                <w:rFonts w:hint="eastAsia" w:ascii="黑体" w:hAnsi="黑体" w:eastAsia="黑体" w:cs="黑体"/>
                <w:b/>
                <w:bCs/>
                <w:color w:val="auto"/>
                <w:sz w:val="24"/>
              </w:rPr>
              <w:t>序号</w:t>
            </w:r>
          </w:p>
        </w:tc>
        <w:tc>
          <w:tcPr>
            <w:tcW w:w="1322" w:type="dxa"/>
            <w:vMerge w:val="restart"/>
            <w:tcBorders>
              <w:top w:val="single" w:color="auto" w:sz="4" w:space="0"/>
              <w:left w:val="single" w:color="auto" w:sz="4" w:space="0"/>
              <w:right w:val="single" w:color="auto" w:sz="4" w:space="0"/>
            </w:tcBorders>
            <w:noWrap w:val="0"/>
            <w:vAlign w:val="center"/>
          </w:tcPr>
          <w:p w14:paraId="46A17A5D">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lang w:eastAsia="zh-CN"/>
              </w:rPr>
            </w:pPr>
            <w:r>
              <w:rPr>
                <w:rFonts w:hint="eastAsia" w:ascii="黑体" w:hAnsi="黑体" w:eastAsia="黑体" w:cs="黑体"/>
                <w:b/>
                <w:bCs/>
                <w:color w:val="auto"/>
                <w:sz w:val="24"/>
              </w:rPr>
              <w:t>服务</w:t>
            </w:r>
            <w:r>
              <w:rPr>
                <w:rFonts w:hint="eastAsia" w:ascii="黑体" w:hAnsi="黑体" w:eastAsia="黑体" w:cs="黑体"/>
                <w:b/>
                <w:bCs/>
                <w:color w:val="auto"/>
                <w:sz w:val="24"/>
                <w:lang w:val="en-US" w:eastAsia="zh-CN"/>
              </w:rPr>
              <w:t>内容</w:t>
            </w:r>
          </w:p>
        </w:tc>
        <w:tc>
          <w:tcPr>
            <w:tcW w:w="6445" w:type="dxa"/>
            <w:vMerge w:val="restart"/>
            <w:tcBorders>
              <w:top w:val="single" w:color="auto" w:sz="4" w:space="0"/>
              <w:left w:val="single" w:color="auto" w:sz="4" w:space="0"/>
              <w:right w:val="single" w:color="auto" w:sz="4" w:space="0"/>
            </w:tcBorders>
            <w:noWrap w:val="0"/>
            <w:vAlign w:val="center"/>
          </w:tcPr>
          <w:p w14:paraId="3AF0C3DC">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黑体" w:hAnsi="黑体" w:eastAsia="黑体" w:cs="黑体"/>
                <w:b/>
                <w:bCs/>
                <w:color w:val="auto"/>
                <w:sz w:val="24"/>
              </w:rPr>
            </w:pPr>
            <w:r>
              <w:rPr>
                <w:rFonts w:hint="default" w:ascii="黑体" w:hAnsi="黑体" w:eastAsia="黑体" w:cs="黑体"/>
                <w:b/>
                <w:bCs/>
                <w:color w:val="auto"/>
                <w:sz w:val="24"/>
                <w:lang w:eastAsia="zh-CN"/>
              </w:rPr>
              <w:t>主要</w:t>
            </w:r>
            <w:r>
              <w:rPr>
                <w:rFonts w:hint="eastAsia" w:ascii="黑体" w:hAnsi="黑体" w:eastAsia="黑体" w:cs="黑体"/>
                <w:b/>
                <w:bCs/>
                <w:color w:val="auto"/>
                <w:sz w:val="24"/>
                <w:lang w:val="en-US" w:eastAsia="zh-CN"/>
              </w:rPr>
              <w:t>工作</w:t>
            </w:r>
          </w:p>
        </w:tc>
      </w:tr>
      <w:tr w14:paraId="737F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9" w:type="dxa"/>
            <w:vMerge w:val="continue"/>
            <w:tcBorders>
              <w:left w:val="single" w:color="auto" w:sz="4" w:space="0"/>
              <w:bottom w:val="single" w:color="auto" w:sz="4" w:space="0"/>
              <w:right w:val="single" w:color="auto" w:sz="4" w:space="0"/>
            </w:tcBorders>
            <w:noWrap w:val="0"/>
            <w:vAlign w:val="top"/>
          </w:tcPr>
          <w:p w14:paraId="2450F16E">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c>
          <w:tcPr>
            <w:tcW w:w="1322" w:type="dxa"/>
            <w:vMerge w:val="continue"/>
            <w:tcBorders>
              <w:left w:val="single" w:color="auto" w:sz="4" w:space="0"/>
              <w:bottom w:val="single" w:color="auto" w:sz="4" w:space="0"/>
              <w:right w:val="single" w:color="auto" w:sz="4" w:space="0"/>
            </w:tcBorders>
            <w:noWrap w:val="0"/>
            <w:vAlign w:val="top"/>
          </w:tcPr>
          <w:p w14:paraId="12BCE70D">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c>
          <w:tcPr>
            <w:tcW w:w="6445" w:type="dxa"/>
            <w:vMerge w:val="continue"/>
            <w:tcBorders>
              <w:left w:val="single" w:color="auto" w:sz="4" w:space="0"/>
              <w:bottom w:val="single" w:color="auto" w:sz="4" w:space="0"/>
              <w:right w:val="single" w:color="auto" w:sz="4" w:space="0"/>
            </w:tcBorders>
            <w:noWrap w:val="0"/>
            <w:vAlign w:val="top"/>
          </w:tcPr>
          <w:p w14:paraId="27ACE749">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rPr>
            </w:pPr>
          </w:p>
        </w:tc>
      </w:tr>
      <w:tr w14:paraId="7FB1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99" w:type="dxa"/>
            <w:tcBorders>
              <w:top w:val="single" w:color="auto" w:sz="4" w:space="0"/>
              <w:left w:val="single" w:color="auto" w:sz="4" w:space="0"/>
              <w:right w:val="single" w:color="auto" w:sz="4" w:space="0"/>
            </w:tcBorders>
            <w:noWrap w:val="0"/>
            <w:vAlign w:val="center"/>
          </w:tcPr>
          <w:p w14:paraId="765EB3C6">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rPr>
            </w:pPr>
          </w:p>
        </w:tc>
        <w:tc>
          <w:tcPr>
            <w:tcW w:w="1322" w:type="dxa"/>
            <w:tcBorders>
              <w:top w:val="single" w:color="auto" w:sz="4" w:space="0"/>
              <w:left w:val="single" w:color="auto" w:sz="4" w:space="0"/>
              <w:right w:val="single" w:color="auto" w:sz="4" w:space="0"/>
            </w:tcBorders>
            <w:noWrap w:val="0"/>
            <w:vAlign w:val="center"/>
          </w:tcPr>
          <w:p w14:paraId="77908935">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项目管理</w:t>
            </w:r>
          </w:p>
        </w:tc>
        <w:tc>
          <w:tcPr>
            <w:tcW w:w="6445" w:type="dxa"/>
            <w:tcBorders>
              <w:top w:val="single" w:color="auto" w:sz="4" w:space="0"/>
              <w:left w:val="single" w:color="auto" w:sz="4" w:space="0"/>
              <w:right w:val="single" w:color="auto" w:sz="4" w:space="0"/>
            </w:tcBorders>
            <w:noWrap w:val="0"/>
            <w:vAlign w:val="center"/>
          </w:tcPr>
          <w:p w14:paraId="6070F6FD">
            <w:pPr>
              <w:pStyle w:val="7"/>
              <w:widowControl/>
              <w:numPr>
                <w:ilvl w:val="0"/>
                <w:numId w:val="0"/>
              </w:numPr>
              <w:spacing w:after="0" w:line="400" w:lineRule="exact"/>
              <w:ind w:left="0" w:leftChars="0" w:firstLine="0" w:firstLineChars="0"/>
              <w:jc w:val="left"/>
              <w:rPr>
                <w:rFonts w:hint="default" w:ascii="仿宋_GB2312" w:hAnsi="仿宋_GB2312" w:eastAsia="仿宋_GB2312" w:cs="仿宋_GB2312"/>
                <w:color w:val="auto"/>
                <w:sz w:val="24"/>
                <w:lang w:eastAsia="zh-CN"/>
              </w:rPr>
            </w:pPr>
            <w:r>
              <w:rPr>
                <w:rFonts w:hint="eastAsia" w:ascii="Times New Roman" w:hAnsi="楷体" w:eastAsia="仿宋_GB2312"/>
                <w:sz w:val="24"/>
                <w:szCs w:val="22"/>
                <w:lang w:val="en-US" w:eastAsia="zh-CN"/>
              </w:rPr>
              <w:t>配合我行开展以下工作：</w:t>
            </w:r>
            <w:r>
              <w:rPr>
                <w:rFonts w:hint="default" w:ascii="Times New Roman" w:hAnsi="楷体" w:eastAsia="仿宋_GB2312"/>
                <w:sz w:val="24"/>
                <w:szCs w:val="22"/>
              </w:rPr>
              <w:t>制定项目计划，监督和控制项目进度</w:t>
            </w:r>
            <w:r>
              <w:rPr>
                <w:rFonts w:hint="eastAsia" w:ascii="Times New Roman" w:hAnsi="楷体" w:eastAsia="仿宋_GB2312"/>
                <w:sz w:val="24"/>
                <w:szCs w:val="22"/>
                <w:lang w:val="en-US" w:eastAsia="zh-CN"/>
              </w:rPr>
              <w:t>；</w:t>
            </w:r>
            <w:r>
              <w:rPr>
                <w:rFonts w:hint="default" w:hAnsi="楷体" w:eastAsia="仿宋_GB2312"/>
                <w:sz w:val="24"/>
                <w:szCs w:val="22"/>
                <w:lang w:eastAsia="zh-CN"/>
              </w:rPr>
              <w:t>负责</w:t>
            </w:r>
            <w:r>
              <w:rPr>
                <w:rFonts w:hint="default" w:ascii="Times New Roman" w:hAnsi="楷体" w:eastAsia="仿宋_GB2312"/>
                <w:sz w:val="24"/>
                <w:szCs w:val="22"/>
              </w:rPr>
              <w:t>管理安排项目资源</w:t>
            </w:r>
            <w:r>
              <w:rPr>
                <w:rFonts w:hint="eastAsia" w:ascii="Times New Roman" w:hAnsi="楷体" w:eastAsia="仿宋_GB2312"/>
                <w:sz w:val="24"/>
                <w:szCs w:val="22"/>
                <w:lang w:val="en-US" w:eastAsia="zh-CN"/>
              </w:rPr>
              <w:t>；开展</w:t>
            </w:r>
            <w:r>
              <w:rPr>
                <w:rFonts w:hint="default" w:ascii="Times New Roman" w:hAnsi="楷体" w:eastAsia="仿宋_GB2312"/>
                <w:sz w:val="24"/>
                <w:szCs w:val="22"/>
              </w:rPr>
              <w:t>实施项目配置和交付管理以及项目质量管理</w:t>
            </w:r>
            <w:r>
              <w:rPr>
                <w:rFonts w:hint="eastAsia" w:ascii="Times New Roman" w:hAnsi="楷体" w:eastAsia="仿宋_GB2312"/>
                <w:sz w:val="24"/>
                <w:szCs w:val="22"/>
                <w:lang w:val="en-US" w:eastAsia="zh-CN"/>
              </w:rPr>
              <w:t>；开展</w:t>
            </w:r>
            <w:r>
              <w:rPr>
                <w:rFonts w:hint="default" w:ascii="Times New Roman" w:hAnsi="楷体" w:eastAsia="仿宋_GB2312"/>
                <w:sz w:val="24"/>
                <w:szCs w:val="22"/>
              </w:rPr>
              <w:t>项目问题管理和项目风险管理</w:t>
            </w:r>
            <w:r>
              <w:rPr>
                <w:rFonts w:hint="eastAsia" w:ascii="Times New Roman" w:hAnsi="楷体" w:eastAsia="仿宋_GB2312"/>
                <w:sz w:val="24"/>
                <w:szCs w:val="22"/>
                <w:lang w:val="en-US" w:eastAsia="zh-CN"/>
              </w:rPr>
              <w:t>；</w:t>
            </w:r>
            <w:r>
              <w:rPr>
                <w:rFonts w:hint="default" w:ascii="Times New Roman" w:hAnsi="楷体" w:eastAsia="仿宋_GB2312"/>
                <w:sz w:val="24"/>
                <w:szCs w:val="22"/>
              </w:rPr>
              <w:t>按照要求</w:t>
            </w:r>
            <w:r>
              <w:rPr>
                <w:rFonts w:hint="eastAsia" w:ascii="Times New Roman" w:hAnsi="楷体" w:eastAsia="仿宋_GB2312"/>
                <w:sz w:val="24"/>
                <w:szCs w:val="22"/>
                <w:lang w:val="en-US" w:eastAsia="zh-CN"/>
              </w:rPr>
              <w:t>定期</w:t>
            </w:r>
            <w:r>
              <w:rPr>
                <w:rFonts w:hint="default" w:ascii="Times New Roman" w:hAnsi="楷体" w:eastAsia="仿宋_GB2312"/>
                <w:sz w:val="24"/>
                <w:szCs w:val="22"/>
              </w:rPr>
              <w:t>进行工作报告</w:t>
            </w:r>
            <w:r>
              <w:rPr>
                <w:rFonts w:hint="eastAsia" w:ascii="Times New Roman" w:hAnsi="楷体" w:eastAsia="仿宋_GB2312"/>
                <w:sz w:val="24"/>
                <w:szCs w:val="22"/>
                <w:lang w:val="en-US" w:eastAsia="zh-CN"/>
              </w:rPr>
              <w:t>等</w:t>
            </w:r>
          </w:p>
        </w:tc>
      </w:tr>
      <w:tr w14:paraId="5AE7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9" w:type="dxa"/>
            <w:tcBorders>
              <w:left w:val="single" w:color="auto" w:sz="4" w:space="0"/>
              <w:bottom w:val="single" w:color="auto" w:sz="4" w:space="0"/>
              <w:right w:val="single" w:color="auto" w:sz="4" w:space="0"/>
            </w:tcBorders>
            <w:noWrap w:val="0"/>
            <w:vAlign w:val="center"/>
          </w:tcPr>
          <w:p w14:paraId="48C8F1B8">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rPr>
            </w:pPr>
          </w:p>
        </w:tc>
        <w:tc>
          <w:tcPr>
            <w:tcW w:w="1322" w:type="dxa"/>
            <w:tcBorders>
              <w:left w:val="single" w:color="auto" w:sz="4" w:space="0"/>
              <w:bottom w:val="single" w:color="auto" w:sz="4" w:space="0"/>
              <w:right w:val="single" w:color="auto" w:sz="4" w:space="0"/>
            </w:tcBorders>
            <w:noWrap w:val="0"/>
            <w:vAlign w:val="center"/>
          </w:tcPr>
          <w:p w14:paraId="5D88B623">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需求分析</w:t>
            </w:r>
          </w:p>
        </w:tc>
        <w:tc>
          <w:tcPr>
            <w:tcW w:w="6445" w:type="dxa"/>
            <w:tcBorders>
              <w:left w:val="single" w:color="auto" w:sz="4" w:space="0"/>
              <w:bottom w:val="single" w:color="auto" w:sz="4" w:space="0"/>
              <w:right w:val="single" w:color="auto" w:sz="4" w:space="0"/>
            </w:tcBorders>
            <w:noWrap w:val="0"/>
            <w:vAlign w:val="center"/>
          </w:tcPr>
          <w:p w14:paraId="190ACDFF">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eastAsia="zh-CN"/>
              </w:rPr>
              <w:t>根据</w:t>
            </w:r>
            <w:r>
              <w:rPr>
                <w:rFonts w:hint="eastAsia" w:ascii="仿宋_GB2312" w:hAnsi="仿宋_GB2312" w:eastAsia="仿宋_GB2312" w:cs="仿宋_GB2312"/>
                <w:color w:val="auto"/>
                <w:sz w:val="24"/>
                <w:lang w:val="en-US" w:eastAsia="zh-CN"/>
              </w:rPr>
              <w:t>业务要求，梳理转化为业务对系统功能性和非功能性等具体要求，形成需求规格说明书</w:t>
            </w:r>
          </w:p>
        </w:tc>
      </w:tr>
      <w:tr w14:paraId="006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9" w:type="dxa"/>
            <w:tcBorders>
              <w:left w:val="single" w:color="auto" w:sz="4" w:space="0"/>
              <w:bottom w:val="single" w:color="auto" w:sz="4" w:space="0"/>
              <w:right w:val="single" w:color="auto" w:sz="4" w:space="0"/>
            </w:tcBorders>
            <w:noWrap w:val="0"/>
            <w:vAlign w:val="center"/>
          </w:tcPr>
          <w:p w14:paraId="7945A8E8">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rPr>
            </w:pPr>
          </w:p>
        </w:tc>
        <w:tc>
          <w:tcPr>
            <w:tcW w:w="1322" w:type="dxa"/>
            <w:tcBorders>
              <w:left w:val="single" w:color="auto" w:sz="4" w:space="0"/>
              <w:bottom w:val="single" w:color="auto" w:sz="4" w:space="0"/>
              <w:right w:val="single" w:color="auto" w:sz="4" w:space="0"/>
            </w:tcBorders>
            <w:noWrap w:val="0"/>
            <w:vAlign w:val="center"/>
          </w:tcPr>
          <w:p w14:paraId="655167E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eastAsia="zh-CN"/>
              </w:rPr>
              <w:t>设</w:t>
            </w:r>
            <w:r>
              <w:rPr>
                <w:rFonts w:hint="eastAsia" w:ascii="仿宋_GB2312" w:hAnsi="仿宋_GB2312" w:eastAsia="仿宋_GB2312" w:cs="仿宋_GB2312"/>
                <w:color w:val="auto"/>
                <w:sz w:val="24"/>
                <w:lang w:val="en-US" w:eastAsia="zh-CN"/>
              </w:rPr>
              <w:t xml:space="preserve">  </w:t>
            </w:r>
            <w:r>
              <w:rPr>
                <w:rFonts w:hint="default" w:ascii="仿宋_GB2312" w:hAnsi="仿宋_GB2312" w:eastAsia="仿宋_GB2312" w:cs="仿宋_GB2312"/>
                <w:color w:val="auto"/>
                <w:sz w:val="24"/>
                <w:lang w:eastAsia="zh-CN"/>
              </w:rPr>
              <w:t>计</w:t>
            </w:r>
          </w:p>
        </w:tc>
        <w:tc>
          <w:tcPr>
            <w:tcW w:w="6445" w:type="dxa"/>
            <w:tcBorders>
              <w:left w:val="single" w:color="auto" w:sz="4" w:space="0"/>
              <w:bottom w:val="single" w:color="auto" w:sz="4" w:space="0"/>
              <w:right w:val="single" w:color="auto" w:sz="4" w:space="0"/>
            </w:tcBorders>
            <w:noWrap w:val="0"/>
            <w:vAlign w:val="center"/>
          </w:tcPr>
          <w:p w14:paraId="1D5AF3B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eastAsia="zh-CN"/>
              </w:rPr>
              <w:t>完成</w:t>
            </w:r>
            <w:r>
              <w:rPr>
                <w:rFonts w:hint="eastAsia" w:ascii="仿宋_GB2312" w:hAnsi="仿宋_GB2312" w:eastAsia="仿宋_GB2312" w:cs="仿宋_GB2312"/>
                <w:color w:val="auto"/>
                <w:sz w:val="24"/>
                <w:lang w:val="en-US" w:eastAsia="zh-CN"/>
              </w:rPr>
              <w:t>相关</w:t>
            </w:r>
            <w:r>
              <w:rPr>
                <w:rFonts w:hint="default" w:ascii="仿宋_GB2312" w:hAnsi="仿宋_GB2312" w:eastAsia="仿宋_GB2312" w:cs="仿宋_GB2312"/>
                <w:color w:val="auto"/>
                <w:sz w:val="24"/>
                <w:lang w:eastAsia="zh-CN"/>
              </w:rPr>
              <w:t>物理子系统的概要设计、详细设计等相关工作，形成相应</w:t>
            </w:r>
            <w:r>
              <w:rPr>
                <w:rFonts w:hint="eastAsia" w:ascii="仿宋_GB2312" w:hAnsi="仿宋_GB2312" w:eastAsia="仿宋_GB2312" w:cs="仿宋_GB2312"/>
                <w:color w:val="auto"/>
                <w:sz w:val="24"/>
                <w:lang w:val="en-US" w:eastAsia="zh-CN"/>
              </w:rPr>
              <w:t>设计</w:t>
            </w:r>
            <w:r>
              <w:rPr>
                <w:rFonts w:hint="default" w:ascii="仿宋_GB2312" w:hAnsi="仿宋_GB2312" w:eastAsia="仿宋_GB2312" w:cs="仿宋_GB2312"/>
                <w:color w:val="auto"/>
                <w:sz w:val="24"/>
                <w:lang w:eastAsia="zh-CN"/>
              </w:rPr>
              <w:t>说明书</w:t>
            </w:r>
          </w:p>
        </w:tc>
      </w:tr>
      <w:tr w14:paraId="2865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noWrap w:val="0"/>
            <w:vAlign w:val="center"/>
          </w:tcPr>
          <w:p w14:paraId="371665DA">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rPr>
            </w:pPr>
          </w:p>
        </w:tc>
        <w:tc>
          <w:tcPr>
            <w:tcW w:w="1322" w:type="dxa"/>
            <w:tcBorders>
              <w:top w:val="single" w:color="auto" w:sz="4" w:space="0"/>
              <w:left w:val="single" w:color="auto" w:sz="4" w:space="0"/>
              <w:right w:val="single" w:color="auto" w:sz="4" w:space="0"/>
            </w:tcBorders>
            <w:noWrap w:val="0"/>
            <w:vAlign w:val="center"/>
          </w:tcPr>
          <w:p w14:paraId="1E15914F">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开  发</w:t>
            </w:r>
          </w:p>
        </w:tc>
        <w:tc>
          <w:tcPr>
            <w:tcW w:w="6445" w:type="dxa"/>
            <w:tcBorders>
              <w:top w:val="single" w:color="auto" w:sz="4" w:space="0"/>
              <w:left w:val="single" w:color="auto" w:sz="4" w:space="0"/>
              <w:right w:val="single" w:color="auto" w:sz="4" w:space="0"/>
            </w:tcBorders>
            <w:noWrap w:val="0"/>
            <w:vAlign w:val="center"/>
          </w:tcPr>
          <w:p w14:paraId="211A7F0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根据功能设计按计划完成开发，实现设计功能</w:t>
            </w:r>
            <w:r>
              <w:rPr>
                <w:rFonts w:hint="default"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完成单元测试等工作</w:t>
            </w:r>
          </w:p>
        </w:tc>
      </w:tr>
      <w:tr w14:paraId="58D5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noWrap w:val="0"/>
            <w:vAlign w:val="center"/>
          </w:tcPr>
          <w:p w14:paraId="2569F222">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rPr>
            </w:pPr>
          </w:p>
        </w:tc>
        <w:tc>
          <w:tcPr>
            <w:tcW w:w="1322" w:type="dxa"/>
            <w:tcBorders>
              <w:top w:val="single" w:color="auto" w:sz="4" w:space="0"/>
              <w:left w:val="single" w:color="auto" w:sz="4" w:space="0"/>
              <w:right w:val="single" w:color="auto" w:sz="4" w:space="0"/>
            </w:tcBorders>
            <w:noWrap w:val="0"/>
            <w:vAlign w:val="center"/>
          </w:tcPr>
          <w:p w14:paraId="5E6A4D38">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测  试</w:t>
            </w:r>
          </w:p>
        </w:tc>
        <w:tc>
          <w:tcPr>
            <w:tcW w:w="6445" w:type="dxa"/>
            <w:tcBorders>
              <w:top w:val="single" w:color="auto" w:sz="4" w:space="0"/>
              <w:left w:val="single" w:color="auto" w:sz="4" w:space="0"/>
              <w:right w:val="single" w:color="auto" w:sz="4" w:space="0"/>
            </w:tcBorders>
            <w:noWrap w:val="0"/>
            <w:vAlign w:val="center"/>
          </w:tcPr>
          <w:p w14:paraId="7983C450">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开展产品、系统集成等测试工作，包括测试计划、准备和执行，完成测试案例、脚本及数据的编制和准备，及时组织系统修补和必要的回归测试，形成测试报告；协助开展用户验收测试相关工作</w:t>
            </w:r>
          </w:p>
        </w:tc>
      </w:tr>
      <w:tr w14:paraId="292A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noWrap w:val="0"/>
            <w:vAlign w:val="center"/>
          </w:tcPr>
          <w:p w14:paraId="00CC59A5">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rPr>
            </w:pPr>
          </w:p>
        </w:tc>
        <w:tc>
          <w:tcPr>
            <w:tcW w:w="1322" w:type="dxa"/>
            <w:tcBorders>
              <w:top w:val="single" w:color="auto" w:sz="4" w:space="0"/>
              <w:left w:val="single" w:color="auto" w:sz="4" w:space="0"/>
              <w:right w:val="single" w:color="auto" w:sz="4" w:space="0"/>
            </w:tcBorders>
            <w:noWrap w:val="0"/>
            <w:vAlign w:val="center"/>
          </w:tcPr>
          <w:p w14:paraId="7B7B2E01">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投产运维</w:t>
            </w:r>
          </w:p>
        </w:tc>
        <w:tc>
          <w:tcPr>
            <w:tcW w:w="6445" w:type="dxa"/>
            <w:tcBorders>
              <w:top w:val="single" w:color="auto" w:sz="4" w:space="0"/>
              <w:left w:val="single" w:color="auto" w:sz="4" w:space="0"/>
              <w:right w:val="single" w:color="auto" w:sz="4" w:space="0"/>
            </w:tcBorders>
            <w:noWrap w:val="0"/>
            <w:vAlign w:val="center"/>
          </w:tcPr>
          <w:p w14:paraId="73198A4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宋体"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为系统投产演练和投产上线等提供必要支持，包括但不限于各类方案计划和流程策略的制定、现场人员支持及运维培训等工作</w:t>
            </w:r>
          </w:p>
        </w:tc>
      </w:tr>
      <w:tr w14:paraId="6B35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99" w:type="dxa"/>
            <w:tcBorders>
              <w:top w:val="single" w:color="auto" w:sz="4" w:space="0"/>
              <w:left w:val="single" w:color="auto" w:sz="4" w:space="0"/>
              <w:right w:val="single" w:color="auto" w:sz="4" w:space="0"/>
            </w:tcBorders>
            <w:noWrap w:val="0"/>
            <w:vAlign w:val="center"/>
          </w:tcPr>
          <w:p w14:paraId="5049FB72">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rPr>
            </w:pPr>
          </w:p>
        </w:tc>
        <w:tc>
          <w:tcPr>
            <w:tcW w:w="1322" w:type="dxa"/>
            <w:tcBorders>
              <w:top w:val="single" w:color="auto" w:sz="4" w:space="0"/>
              <w:left w:val="single" w:color="auto" w:sz="4" w:space="0"/>
              <w:right w:val="single" w:color="auto" w:sz="4" w:space="0"/>
            </w:tcBorders>
            <w:noWrap w:val="0"/>
            <w:vAlign w:val="center"/>
          </w:tcPr>
          <w:p w14:paraId="3D49C71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培  训</w:t>
            </w:r>
          </w:p>
        </w:tc>
        <w:tc>
          <w:tcPr>
            <w:tcW w:w="6445" w:type="dxa"/>
            <w:tcBorders>
              <w:top w:val="single" w:color="auto" w:sz="4" w:space="0"/>
              <w:left w:val="single" w:color="auto" w:sz="4" w:space="0"/>
              <w:right w:val="single" w:color="auto" w:sz="4" w:space="0"/>
            </w:tcBorders>
            <w:noWrap w:val="0"/>
            <w:vAlign w:val="center"/>
          </w:tcPr>
          <w:p w14:paraId="4A10BB5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auto"/>
                <w:sz w:val="24"/>
                <w:lang w:val="en-US" w:eastAsia="zh-CN"/>
              </w:rPr>
              <w:t>通过必要培训使我行相关人员熟悉系统内容和功能，以及使用权限划分与操作方式，包括系统架构、部署运维、参数配置等内容；提供完备的培训材料</w:t>
            </w:r>
          </w:p>
        </w:tc>
      </w:tr>
    </w:tbl>
    <w:p w14:paraId="374A2133">
      <w:pPr>
        <w:pStyle w:val="15"/>
        <w:keepNext/>
        <w:keepLines/>
        <w:pageBreakBefore w:val="0"/>
        <w:widowControl w:val="0"/>
        <w:numPr>
          <w:ilvl w:val="0"/>
          <w:numId w:val="4"/>
        </w:numPr>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hint="eastAsia" w:ascii="Times New Roman" w:hAnsi="黑体" w:eastAsia="黑体"/>
          <w:b w:val="0"/>
          <w:bCs w:val="0"/>
          <w:color w:val="auto"/>
          <w:sz w:val="32"/>
          <w:lang w:val="en-US" w:eastAsia="zh-CN"/>
        </w:rPr>
      </w:pPr>
      <w:bookmarkStart w:id="5" w:name="_Toc6214"/>
      <w:bookmarkStart w:id="6" w:name="_Toc628"/>
      <w:r>
        <w:rPr>
          <w:rFonts w:hint="eastAsia" w:ascii="Times New Roman" w:hAnsi="黑体" w:eastAsia="黑体"/>
          <w:b w:val="0"/>
          <w:bCs w:val="0"/>
          <w:color w:val="auto"/>
          <w:sz w:val="32"/>
          <w:lang w:val="en-US" w:eastAsia="zh-CN"/>
        </w:rPr>
        <w:t>业务要求</w:t>
      </w:r>
      <w:bookmarkEnd w:id="5"/>
    </w:p>
    <w:p w14:paraId="3E00A172">
      <w:pPr>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各业务需求说明书中对需求提出了详细了业务要求和调整内容。具体可见业务需求说明书。</w:t>
      </w:r>
    </w:p>
    <w:p w14:paraId="1D5C6444">
      <w:pPr>
        <w:pStyle w:val="15"/>
        <w:keepNext/>
        <w:keepLines/>
        <w:pageBreakBefore w:val="0"/>
        <w:widowControl w:val="0"/>
        <w:numPr>
          <w:ilvl w:val="0"/>
          <w:numId w:val="4"/>
        </w:numPr>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hint="default" w:ascii="Times New Roman" w:hAnsi="黑体" w:eastAsia="黑体" w:cs="Times New Roman"/>
          <w:b w:val="0"/>
          <w:bCs w:val="0"/>
          <w:color w:val="auto"/>
          <w:sz w:val="32"/>
          <w:lang w:val="en-US" w:eastAsia="zh-CN"/>
        </w:rPr>
      </w:pPr>
      <w:bookmarkStart w:id="7" w:name="_Toc30086"/>
      <w:r>
        <w:rPr>
          <w:rFonts w:hint="eastAsia" w:ascii="Times New Roman" w:hAnsi="黑体" w:eastAsia="黑体" w:cs="Times New Roman"/>
          <w:b w:val="0"/>
          <w:bCs w:val="0"/>
          <w:color w:val="auto"/>
          <w:sz w:val="32"/>
          <w:lang w:val="en-US" w:eastAsia="zh-CN"/>
        </w:rPr>
        <w:t>技术要求</w:t>
      </w:r>
      <w:bookmarkEnd w:id="7"/>
    </w:p>
    <w:p w14:paraId="227129C1">
      <w:pPr>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保持现有系统整体架构和稳定运行的基础上，对各需求进行合理架构初分，各物理子系统按照涉及需求的关联依赖情况，科学设计系统功能改造方案，确定实施计划安排，确保系统功能切分清晰，底层逻辑准确，业务流程顺畅。</w:t>
      </w:r>
    </w:p>
    <w:p w14:paraId="2D744C68">
      <w:pPr>
        <w:pStyle w:val="15"/>
        <w:keepNext/>
        <w:keepLines/>
        <w:pageBreakBefore w:val="0"/>
        <w:widowControl w:val="0"/>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ascii="Times New Roman" w:hAnsi="Times New Roman" w:eastAsia="仿宋_GB2312"/>
          <w:b w:val="0"/>
          <w:bCs w:val="0"/>
          <w:color w:val="auto"/>
          <w:sz w:val="32"/>
        </w:rPr>
      </w:pPr>
      <w:bookmarkStart w:id="8" w:name="_Toc27358"/>
      <w:r>
        <w:rPr>
          <w:rFonts w:hint="eastAsia" w:ascii="Times New Roman" w:hAnsi="黑体" w:eastAsia="黑体"/>
          <w:b w:val="0"/>
          <w:bCs w:val="0"/>
          <w:color w:val="auto"/>
          <w:sz w:val="32"/>
          <w:lang w:val="en-US" w:eastAsia="zh-CN"/>
        </w:rPr>
        <w:t>五</w:t>
      </w:r>
      <w:r>
        <w:rPr>
          <w:rFonts w:ascii="Times New Roman" w:hAnsi="黑体" w:eastAsia="黑体"/>
          <w:b w:val="0"/>
          <w:bCs w:val="0"/>
          <w:color w:val="auto"/>
          <w:sz w:val="32"/>
        </w:rPr>
        <w:t>、服务要求</w:t>
      </w:r>
      <w:bookmarkEnd w:id="6"/>
      <w:bookmarkEnd w:id="8"/>
    </w:p>
    <w:p w14:paraId="650F6852">
      <w:pPr>
        <w:pStyle w:val="6"/>
        <w:pageBreakBefore w:val="0"/>
        <w:numPr>
          <w:ilvl w:val="0"/>
          <w:numId w:val="0"/>
        </w:numPr>
        <w:kinsoku/>
        <w:overflowPunct/>
        <w:topLinePunct w:val="0"/>
        <w:autoSpaceDE/>
        <w:autoSpaceDN/>
        <w:bidi w:val="0"/>
        <w:adjustRightInd w:val="0"/>
        <w:snapToGrid/>
        <w:spacing w:beforeLines="0" w:afterLines="0" w:line="560" w:lineRule="exact"/>
        <w:ind w:firstLine="640" w:firstLineChars="200"/>
        <w:rPr>
          <w:rFonts w:hint="eastAsia" w:ascii="楷体_GB2312" w:hAnsi="楷体_GB2312" w:eastAsia="楷体_GB2312" w:cs="楷体_GB2312"/>
          <w:color w:val="auto"/>
          <w:sz w:val="32"/>
          <w:szCs w:val="28"/>
          <w:highlight w:val="none"/>
          <w:lang w:val="en-US" w:eastAsia="zh-CN"/>
        </w:rPr>
      </w:pPr>
      <w:r>
        <w:rPr>
          <w:rFonts w:hint="eastAsia" w:ascii="楷体_GB2312" w:hAnsi="楷体_GB2312" w:eastAsia="楷体_GB2312" w:cs="楷体_GB2312"/>
          <w:b w:val="0"/>
          <w:bCs w:val="0"/>
          <w:color w:val="auto"/>
          <w:sz w:val="32"/>
          <w:lang w:eastAsia="zh-CN"/>
        </w:rPr>
        <w:t>（</w:t>
      </w:r>
      <w:r>
        <w:rPr>
          <w:rFonts w:hint="eastAsia" w:ascii="楷体_GB2312" w:hAnsi="楷体_GB2312" w:eastAsia="楷体_GB2312" w:cs="楷体_GB2312"/>
          <w:b w:val="0"/>
          <w:bCs w:val="0"/>
          <w:color w:val="auto"/>
          <w:sz w:val="32"/>
          <w:lang w:val="en-US" w:eastAsia="zh-CN"/>
        </w:rPr>
        <w:t>一</w:t>
      </w:r>
      <w:r>
        <w:rPr>
          <w:rFonts w:hint="eastAsia" w:ascii="楷体_GB2312" w:hAnsi="楷体_GB2312" w:eastAsia="楷体_GB2312" w:cs="楷体_GB2312"/>
          <w:b w:val="0"/>
          <w:bCs w:val="0"/>
          <w:color w:val="auto"/>
          <w:sz w:val="32"/>
          <w:lang w:eastAsia="zh-CN"/>
        </w:rPr>
        <w:t>）</w:t>
      </w:r>
      <w:r>
        <w:rPr>
          <w:rFonts w:hint="eastAsia" w:ascii="楷体_GB2312" w:hAnsi="楷体_GB2312" w:eastAsia="楷体_GB2312" w:cs="楷体_GB2312"/>
          <w:b w:val="0"/>
          <w:bCs w:val="0"/>
          <w:color w:val="auto"/>
          <w:sz w:val="32"/>
          <w:lang w:val="en-US" w:eastAsia="zh-CN"/>
        </w:rPr>
        <w:t>服务</w:t>
      </w:r>
      <w:r>
        <w:rPr>
          <w:rFonts w:hint="eastAsia" w:ascii="楷体_GB2312" w:hAnsi="楷体_GB2312" w:eastAsia="楷体_GB2312" w:cs="楷体_GB2312"/>
          <w:color w:val="auto"/>
          <w:sz w:val="32"/>
          <w:szCs w:val="28"/>
          <w:highlight w:val="none"/>
          <w:lang w:val="en-US" w:eastAsia="zh-CN"/>
        </w:rPr>
        <w:t>要求</w:t>
      </w:r>
    </w:p>
    <w:p w14:paraId="2BB55F08">
      <w:pPr>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9" w:name="_Toc36545096"/>
      <w:r>
        <w:rPr>
          <w:rFonts w:hint="eastAsia" w:ascii="仿宋_GB2312" w:hAnsi="仿宋_GB2312" w:eastAsia="仿宋_GB2312" w:cs="仿宋_GB2312"/>
          <w:color w:val="auto"/>
          <w:sz w:val="32"/>
          <w:szCs w:val="32"/>
          <w:lang w:val="en-US" w:eastAsia="zh-CN"/>
        </w:rPr>
        <w:t>1.总体要求</w:t>
      </w:r>
    </w:p>
    <w:p w14:paraId="094D4318">
      <w:pPr>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应确保我行享有对核心产品软件系统拥有永久的、不可撤销的、不可转让的修改权、复制权及其他使用权，以及对客户化软件及核心产品软件系统中客户化部分的全部知识产权。为实现上述目的，供应商应向我行提供客户化软件及核心产品系统中客户化部分的目标程序及全部源代码，以及核心产品软件的目标程序及全部源代码。</w:t>
      </w:r>
    </w:p>
    <w:p w14:paraId="44EBF573">
      <w:pPr>
        <w:pageBreakBefore w:val="0"/>
        <w:widowControl/>
        <w:kinsoku/>
        <w:overflowPunct/>
        <w:topLinePunct w:val="0"/>
        <w:autoSpaceDE/>
        <w:autoSpaceDN/>
        <w:bidi w:val="0"/>
        <w:snapToGrid/>
        <w:spacing w:beforeLines="0" w:afterLines="0"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保证能够满足项目实施全生命周期中对开发、测试的要求，并支持通过开发实现对未来业务和技术功能的扩展。</w:t>
      </w:r>
    </w:p>
    <w:p w14:paraId="0FA5108F">
      <w:pPr>
        <w:pageBreakBefore w:val="0"/>
        <w:widowControl/>
        <w:kinsoku/>
        <w:overflowPunct/>
        <w:topLinePunct w:val="0"/>
        <w:autoSpaceDE/>
        <w:autoSpaceDN/>
        <w:bidi w:val="0"/>
        <w:snapToGrid/>
        <w:spacing w:beforeLines="0" w:afterLines="0" w:line="560" w:lineRule="exact"/>
        <w:ind w:left="0" w:leftChars="0" w:firstLine="640" w:firstLineChars="200"/>
        <w:jc w:val="left"/>
        <w:rPr>
          <w:rFonts w:hint="eastAsia" w:ascii="仿宋_GB2312" w:hAnsi="仿宋_GB2312" w:eastAsia="仿宋_GB2312" w:cs="仿宋_GB2312"/>
          <w:color w:val="auto"/>
          <w:sz w:val="32"/>
          <w:szCs w:val="28"/>
          <w:lang w:val="en-US" w:eastAsia="zh-CN"/>
        </w:rPr>
      </w:pPr>
      <w:r>
        <w:rPr>
          <w:rFonts w:hint="default" w:hAnsi="楷体" w:eastAsia="仿宋_GB2312" w:cs="Times New Roman"/>
          <w:color w:val="auto"/>
          <w:sz w:val="32"/>
          <w:szCs w:val="28"/>
          <w:lang w:val="en-US" w:eastAsia="zh-CN"/>
        </w:rPr>
        <w:t>为项目配备具有相关资质、技能和经验的技术服务人员，提供所需的信息技术服务。</w:t>
      </w:r>
      <w:r>
        <w:rPr>
          <w:rFonts w:hint="eastAsia" w:ascii="仿宋_GB2312" w:hAnsi="仿宋_GB2312" w:eastAsia="仿宋_GB2312" w:cs="仿宋_GB2312"/>
          <w:color w:val="auto"/>
          <w:sz w:val="32"/>
          <w:szCs w:val="28"/>
          <w:lang w:val="en-US" w:eastAsia="zh-CN"/>
        </w:rPr>
        <w:t>在人员供给方面，应高效及时提供满足我行要求的高质量人力资源，并且公司应该具备此类人力资源的储备，保证满足我行各项业务需求的开发质量及时间要求。在人员稳定性方面，应有效保障服务队伍的稳定性，以确保服务质量。在人员培训方面，应定期对服务人员进行内部培训，以使人员不断补充提高服务技能。</w:t>
      </w:r>
    </w:p>
    <w:bookmarkEnd w:id="9"/>
    <w:p w14:paraId="7A98DF53">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640" w:firstLineChars="200"/>
        <w:jc w:val="left"/>
        <w:textAlignment w:val="auto"/>
        <w:rPr>
          <w:rFonts w:hint="eastAsia" w:hAnsi="楷体" w:eastAsia="仿宋_GB2312"/>
          <w:color w:val="auto"/>
          <w:sz w:val="32"/>
          <w:szCs w:val="28"/>
          <w:lang w:eastAsia="zh-CN"/>
        </w:rPr>
      </w:pPr>
      <w:r>
        <w:rPr>
          <w:rFonts w:hint="default" w:ascii="Times New Roman" w:hAnsi="楷体" w:eastAsia="仿宋_GB2312"/>
          <w:color w:val="auto"/>
          <w:sz w:val="32"/>
          <w:szCs w:val="28"/>
          <w:lang w:eastAsia="zh-CN"/>
        </w:rPr>
        <w:t>供应商</w:t>
      </w:r>
      <w:r>
        <w:rPr>
          <w:rFonts w:hint="default" w:ascii="Times New Roman" w:hAnsi="楷体" w:eastAsia="仿宋_GB2312"/>
          <w:color w:val="auto"/>
          <w:sz w:val="32"/>
          <w:szCs w:val="28"/>
        </w:rPr>
        <w:t>通过电话、电子邮件、传真等</w:t>
      </w:r>
      <w:r>
        <w:rPr>
          <w:rFonts w:hint="eastAsia" w:hAnsi="楷体" w:eastAsia="仿宋_GB2312"/>
          <w:color w:val="auto"/>
          <w:sz w:val="32"/>
          <w:szCs w:val="28"/>
          <w:lang w:val="en-US" w:eastAsia="zh-CN"/>
        </w:rPr>
        <w:t>可能必要</w:t>
      </w:r>
      <w:r>
        <w:rPr>
          <w:rFonts w:hint="default" w:ascii="Times New Roman" w:hAnsi="楷体" w:eastAsia="仿宋_GB2312"/>
          <w:color w:val="auto"/>
          <w:sz w:val="32"/>
          <w:szCs w:val="28"/>
        </w:rPr>
        <w:t>方式向</w:t>
      </w:r>
      <w:r>
        <w:rPr>
          <w:rFonts w:hint="eastAsia" w:hAnsi="楷体" w:eastAsia="仿宋_GB2312"/>
          <w:color w:val="auto"/>
          <w:sz w:val="32"/>
          <w:szCs w:val="28"/>
          <w:lang w:val="en-US" w:eastAsia="zh-CN"/>
        </w:rPr>
        <w:t>我</w:t>
      </w:r>
      <w:r>
        <w:rPr>
          <w:rFonts w:hint="default" w:ascii="Times New Roman" w:hAnsi="楷体" w:eastAsia="仿宋_GB2312"/>
          <w:color w:val="auto"/>
          <w:sz w:val="32"/>
          <w:szCs w:val="28"/>
        </w:rPr>
        <w:t>行提供远程技术支持，</w:t>
      </w:r>
      <w:r>
        <w:rPr>
          <w:rFonts w:hint="eastAsia" w:hAnsi="楷体" w:eastAsia="仿宋_GB2312"/>
          <w:color w:val="auto"/>
          <w:sz w:val="32"/>
          <w:szCs w:val="28"/>
          <w:lang w:val="en-US" w:eastAsia="zh-CN"/>
        </w:rPr>
        <w:t>及时</w:t>
      </w:r>
      <w:r>
        <w:rPr>
          <w:rFonts w:hint="default" w:ascii="Times New Roman" w:hAnsi="楷体" w:eastAsia="仿宋_GB2312"/>
          <w:color w:val="auto"/>
          <w:sz w:val="32"/>
          <w:szCs w:val="28"/>
        </w:rPr>
        <w:t>响应</w:t>
      </w:r>
      <w:r>
        <w:rPr>
          <w:rFonts w:hint="eastAsia" w:hAnsi="楷体" w:eastAsia="仿宋_GB2312"/>
          <w:color w:val="auto"/>
          <w:sz w:val="32"/>
          <w:szCs w:val="28"/>
          <w:lang w:val="en-US" w:eastAsia="zh-CN"/>
        </w:rPr>
        <w:t>我行</w:t>
      </w:r>
      <w:r>
        <w:rPr>
          <w:rFonts w:hint="default" w:ascii="Times New Roman" w:hAnsi="楷体" w:eastAsia="仿宋_GB2312"/>
          <w:color w:val="auto"/>
          <w:sz w:val="32"/>
          <w:szCs w:val="28"/>
        </w:rPr>
        <w:t>服务请求</w:t>
      </w:r>
      <w:r>
        <w:rPr>
          <w:rFonts w:hint="eastAsia" w:ascii="Times New Roman" w:hAnsi="楷体" w:eastAsia="仿宋_GB2312"/>
          <w:color w:val="auto"/>
          <w:sz w:val="32"/>
          <w:szCs w:val="28"/>
          <w:lang w:eastAsia="zh-CN"/>
        </w:rPr>
        <w:t>，</w:t>
      </w:r>
      <w:r>
        <w:rPr>
          <w:rFonts w:hint="default" w:ascii="Times New Roman" w:hAnsi="楷体" w:eastAsia="仿宋_GB2312"/>
          <w:color w:val="auto"/>
          <w:sz w:val="32"/>
          <w:szCs w:val="28"/>
        </w:rPr>
        <w:t>必要时协商提供人员现场服务支持</w:t>
      </w:r>
      <w:r>
        <w:rPr>
          <w:rFonts w:hint="eastAsia" w:hAnsi="楷体" w:eastAsia="仿宋_GB2312"/>
          <w:color w:val="auto"/>
          <w:sz w:val="32"/>
          <w:szCs w:val="28"/>
          <w:lang w:eastAsia="zh-CN"/>
        </w:rPr>
        <w:t>。</w:t>
      </w:r>
    </w:p>
    <w:p w14:paraId="2139D33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hAnsi="楷体" w:eastAsia="仿宋_GB2312"/>
          <w:color w:val="auto"/>
          <w:sz w:val="32"/>
          <w:szCs w:val="28"/>
          <w:lang w:val="en-US" w:eastAsia="zh-CN"/>
        </w:rPr>
        <w:t>2.服务指标</w:t>
      </w:r>
    </w:p>
    <w:p w14:paraId="4493CAC9">
      <w:pPr>
        <w:pStyle w:val="6"/>
        <w:numPr>
          <w:ilvl w:val="0"/>
          <w:numId w:val="0"/>
        </w:numPr>
        <w:adjustRightInd w:val="0"/>
        <w:spacing w:line="560" w:lineRule="exact"/>
        <w:ind w:firstLine="640" w:firstLineChars="200"/>
        <w:rPr>
          <w:rFonts w:hAnsi="楷体" w:eastAsia="仿宋_GB2312"/>
          <w:sz w:val="32"/>
          <w:szCs w:val="28"/>
          <w:highlight w:val="none"/>
        </w:rPr>
      </w:pPr>
      <w:r>
        <w:rPr>
          <w:rFonts w:hAnsi="楷体" w:eastAsia="仿宋_GB2312"/>
          <w:sz w:val="32"/>
          <w:szCs w:val="28"/>
          <w:highlight w:val="none"/>
        </w:rPr>
        <w:t>服务要求根据重要性分为</w:t>
      </w:r>
      <w:r>
        <w:rPr>
          <w:rFonts w:hint="eastAsia" w:eastAsia="仿宋_GB2312"/>
          <w:sz w:val="32"/>
          <w:szCs w:val="28"/>
          <w:highlight w:val="none"/>
          <w:lang w:eastAsia="zh-CN"/>
        </w:rPr>
        <w:t>“</w:t>
      </w:r>
      <w:r>
        <w:rPr>
          <w:rFonts w:hAnsi="楷体" w:eastAsia="仿宋_GB2312"/>
          <w:sz w:val="32"/>
          <w:szCs w:val="28"/>
          <w:highlight w:val="none"/>
        </w:rPr>
        <w:t>★</w:t>
      </w:r>
      <w:r>
        <w:rPr>
          <w:rFonts w:hint="eastAsia" w:eastAsia="仿宋_GB2312"/>
          <w:sz w:val="32"/>
          <w:szCs w:val="28"/>
          <w:highlight w:val="none"/>
          <w:lang w:eastAsia="zh-CN"/>
        </w:rPr>
        <w:t>”、“</w:t>
      </w:r>
      <w:r>
        <w:rPr>
          <w:rFonts w:hAnsi="楷体" w:eastAsia="仿宋_GB2312"/>
          <w:sz w:val="32"/>
          <w:szCs w:val="28"/>
          <w:highlight w:val="none"/>
        </w:rPr>
        <w:t>＃</w:t>
      </w:r>
      <w:r>
        <w:rPr>
          <w:rFonts w:hint="eastAsia" w:eastAsia="仿宋_GB2312"/>
          <w:sz w:val="32"/>
          <w:szCs w:val="28"/>
          <w:highlight w:val="none"/>
          <w:lang w:eastAsia="zh-CN"/>
        </w:rPr>
        <w:t>”</w:t>
      </w:r>
      <w:r>
        <w:rPr>
          <w:rFonts w:hAnsi="楷体" w:eastAsia="仿宋_GB2312"/>
          <w:sz w:val="32"/>
          <w:szCs w:val="28"/>
          <w:highlight w:val="none"/>
        </w:rPr>
        <w:t>和一般性指标。★代表实质性要求，不满足该指标项将导致投标被拒绝</w:t>
      </w:r>
      <w:r>
        <w:rPr>
          <w:rFonts w:eastAsia="仿宋_GB2312"/>
          <w:sz w:val="32"/>
          <w:szCs w:val="28"/>
          <w:highlight w:val="none"/>
        </w:rPr>
        <w:t>，</w:t>
      </w:r>
      <w:r>
        <w:rPr>
          <w:rFonts w:hAnsi="楷体" w:eastAsia="仿宋_GB2312"/>
          <w:sz w:val="32"/>
          <w:szCs w:val="28"/>
          <w:highlight w:val="none"/>
        </w:rPr>
        <w:t>＃代表重要性参数</w:t>
      </w:r>
      <w:r>
        <w:rPr>
          <w:rFonts w:eastAsia="仿宋_GB2312"/>
          <w:sz w:val="32"/>
          <w:szCs w:val="28"/>
          <w:highlight w:val="none"/>
        </w:rPr>
        <w:t>，</w:t>
      </w:r>
      <w:r>
        <w:rPr>
          <w:rFonts w:hAnsi="楷体" w:eastAsia="仿宋_GB2312"/>
          <w:sz w:val="32"/>
          <w:szCs w:val="28"/>
          <w:highlight w:val="none"/>
        </w:rPr>
        <w:t>无标识则表示一般指标项。</w:t>
      </w:r>
    </w:p>
    <w:tbl>
      <w:tblPr>
        <w:tblStyle w:val="19"/>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722"/>
        <w:gridCol w:w="5857"/>
      </w:tblGrid>
      <w:tr w14:paraId="39F6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noWrap w:val="0"/>
            <w:vAlign w:val="top"/>
          </w:tcPr>
          <w:p w14:paraId="5D97619B">
            <w:pPr>
              <w:jc w:val="center"/>
              <w:rPr>
                <w:rFonts w:eastAsia="仿宋_GB2312"/>
                <w:b/>
                <w:bCs/>
                <w:sz w:val="24"/>
                <w:szCs w:val="22"/>
                <w:highlight w:val="none"/>
              </w:rPr>
            </w:pPr>
            <w:r>
              <w:rPr>
                <w:rFonts w:hAnsi="楷体" w:eastAsia="仿宋_GB2312"/>
                <w:b/>
                <w:bCs/>
                <w:sz w:val="24"/>
                <w:szCs w:val="22"/>
                <w:highlight w:val="none"/>
              </w:rPr>
              <w:t>序号</w:t>
            </w:r>
          </w:p>
        </w:tc>
        <w:tc>
          <w:tcPr>
            <w:tcW w:w="1332" w:type="dxa"/>
            <w:noWrap w:val="0"/>
            <w:vAlign w:val="top"/>
          </w:tcPr>
          <w:p w14:paraId="739A6AF9">
            <w:pPr>
              <w:jc w:val="center"/>
              <w:rPr>
                <w:rFonts w:eastAsia="仿宋_GB2312"/>
                <w:b/>
                <w:bCs/>
                <w:sz w:val="24"/>
                <w:szCs w:val="22"/>
                <w:highlight w:val="none"/>
              </w:rPr>
            </w:pPr>
            <w:r>
              <w:rPr>
                <w:rFonts w:hAnsi="楷体" w:eastAsia="仿宋_GB2312"/>
                <w:b/>
                <w:bCs/>
                <w:sz w:val="24"/>
                <w:szCs w:val="22"/>
                <w:highlight w:val="none"/>
              </w:rPr>
              <w:t>服务要求项目</w:t>
            </w:r>
          </w:p>
        </w:tc>
        <w:tc>
          <w:tcPr>
            <w:tcW w:w="722" w:type="dxa"/>
            <w:noWrap w:val="0"/>
            <w:vAlign w:val="top"/>
          </w:tcPr>
          <w:p w14:paraId="459B3A9F">
            <w:pPr>
              <w:jc w:val="center"/>
              <w:rPr>
                <w:rFonts w:eastAsia="仿宋_GB2312"/>
                <w:b/>
                <w:bCs/>
                <w:sz w:val="24"/>
                <w:szCs w:val="22"/>
                <w:highlight w:val="none"/>
              </w:rPr>
            </w:pPr>
            <w:r>
              <w:rPr>
                <w:rFonts w:hAnsi="楷体" w:eastAsia="仿宋_GB2312"/>
                <w:b/>
                <w:bCs/>
                <w:sz w:val="24"/>
                <w:szCs w:val="22"/>
                <w:highlight w:val="none"/>
              </w:rPr>
              <w:t>重要性</w:t>
            </w:r>
          </w:p>
        </w:tc>
        <w:tc>
          <w:tcPr>
            <w:tcW w:w="5857" w:type="dxa"/>
            <w:noWrap w:val="0"/>
            <w:vAlign w:val="center"/>
          </w:tcPr>
          <w:p w14:paraId="06AE7BB1">
            <w:pPr>
              <w:jc w:val="center"/>
              <w:rPr>
                <w:rFonts w:eastAsia="仿宋_GB2312"/>
                <w:b/>
                <w:bCs/>
                <w:sz w:val="24"/>
                <w:szCs w:val="22"/>
                <w:highlight w:val="none"/>
              </w:rPr>
            </w:pPr>
            <w:r>
              <w:rPr>
                <w:rFonts w:hAnsi="楷体" w:eastAsia="仿宋_GB2312"/>
                <w:b/>
                <w:bCs/>
                <w:sz w:val="24"/>
                <w:szCs w:val="22"/>
                <w:highlight w:val="none"/>
              </w:rPr>
              <w:t>服务要求标准</w:t>
            </w:r>
          </w:p>
        </w:tc>
      </w:tr>
      <w:tr w14:paraId="23CD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noWrap w:val="0"/>
            <w:vAlign w:val="center"/>
          </w:tcPr>
          <w:p w14:paraId="6E56F9A5">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1</w:t>
            </w:r>
          </w:p>
        </w:tc>
        <w:tc>
          <w:tcPr>
            <w:tcW w:w="1332" w:type="dxa"/>
            <w:noWrap w:val="0"/>
            <w:vAlign w:val="center"/>
          </w:tcPr>
          <w:p w14:paraId="2F03A158">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b w:val="0"/>
                <w:bCs w:val="0"/>
                <w:sz w:val="24"/>
                <w:szCs w:val="22"/>
                <w:highlight w:val="none"/>
                <w:lang w:eastAsia="zh-CN"/>
              </w:rPr>
              <w:t>产品要求</w:t>
            </w:r>
          </w:p>
        </w:tc>
        <w:tc>
          <w:tcPr>
            <w:tcW w:w="722" w:type="dxa"/>
            <w:noWrap w:val="0"/>
            <w:vAlign w:val="top"/>
          </w:tcPr>
          <w:p w14:paraId="3275703C">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5857" w:type="dxa"/>
            <w:noWrap w:val="0"/>
            <w:vAlign w:val="top"/>
          </w:tcPr>
          <w:p w14:paraId="39E1E28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要求乙方必须对</w:t>
            </w:r>
            <w:r>
              <w:rPr>
                <w:rFonts w:hint="eastAsia" w:ascii="仿宋_GB2312" w:hAnsi="仿宋_GB2312" w:eastAsia="仿宋_GB2312" w:cs="仿宋_GB2312"/>
                <w:sz w:val="24"/>
                <w:szCs w:val="22"/>
                <w:highlight w:val="none"/>
                <w:lang w:val="en-US" w:eastAsia="zh-CN"/>
              </w:rPr>
              <w:t>本项目涉及的</w:t>
            </w:r>
            <w:r>
              <w:rPr>
                <w:rFonts w:hint="eastAsia" w:ascii="仿宋_GB2312" w:hAnsi="仿宋_GB2312" w:eastAsia="仿宋_GB2312" w:cs="仿宋_GB2312"/>
                <w:sz w:val="24"/>
                <w:szCs w:val="22"/>
                <w:highlight w:val="none"/>
              </w:rPr>
              <w:t>产品拥有完全的知识产权；使用非自身产品的，必须有原厂商对该产品的授权经销商或者有原厂商对本项目的书面授权。（第三方授权有关信息应明确告知甲方，包括被授权产品名称，授权方式，授权期限、授权费等）</w:t>
            </w:r>
            <w:r>
              <w:rPr>
                <w:rFonts w:hint="eastAsia" w:ascii="仿宋_GB2312" w:hAnsi="仿宋_GB2312" w:eastAsia="仿宋_GB2312" w:cs="仿宋_GB2312"/>
                <w:sz w:val="24"/>
                <w:szCs w:val="22"/>
                <w:highlight w:val="none"/>
                <w:lang w:eastAsia="zh-CN"/>
              </w:rPr>
              <w:t>。向我行提供客户化软件及核心产品系统中客户化部分的目标程序及全部源代码，以及核心产品软件的目标程序及全部源代码。</w:t>
            </w:r>
          </w:p>
        </w:tc>
      </w:tr>
      <w:tr w14:paraId="2B3A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noWrap w:val="0"/>
            <w:vAlign w:val="center"/>
          </w:tcPr>
          <w:p w14:paraId="4BF72EE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2</w:t>
            </w:r>
          </w:p>
        </w:tc>
        <w:tc>
          <w:tcPr>
            <w:tcW w:w="1332" w:type="dxa"/>
            <w:noWrap w:val="0"/>
            <w:vAlign w:val="center"/>
          </w:tcPr>
          <w:p w14:paraId="3240EEFB">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24"/>
                <w:szCs w:val="22"/>
                <w:highlight w:val="none"/>
              </w:rPr>
            </w:pPr>
            <w:r>
              <w:rPr>
                <w:rFonts w:hint="eastAsia" w:ascii="仿宋_GB2312" w:hAnsi="仿宋_GB2312" w:eastAsia="仿宋_GB2312" w:cs="仿宋_GB2312"/>
                <w:kern w:val="2"/>
                <w:sz w:val="24"/>
                <w:szCs w:val="22"/>
                <w:highlight w:val="none"/>
              </w:rPr>
              <w:t>故障处理</w:t>
            </w:r>
          </w:p>
        </w:tc>
        <w:tc>
          <w:tcPr>
            <w:tcW w:w="722" w:type="dxa"/>
            <w:noWrap w:val="0"/>
            <w:vAlign w:val="top"/>
          </w:tcPr>
          <w:p w14:paraId="79F7CEE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p>
        </w:tc>
        <w:tc>
          <w:tcPr>
            <w:tcW w:w="5857" w:type="dxa"/>
            <w:noWrap w:val="0"/>
            <w:vAlign w:val="top"/>
          </w:tcPr>
          <w:p w14:paraId="4D78221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eastAsia="zh-CN"/>
              </w:rPr>
              <w:t>供应商</w:t>
            </w:r>
            <w:r>
              <w:rPr>
                <w:rFonts w:hint="eastAsia" w:ascii="仿宋_GB2312" w:hAnsi="仿宋_GB2312" w:eastAsia="仿宋_GB2312" w:cs="仿宋_GB2312"/>
                <w:sz w:val="24"/>
                <w:szCs w:val="22"/>
                <w:highlight w:val="none"/>
                <w:lang w:val="en-US"/>
              </w:rPr>
              <w:t>通过标准化的操作流程进行软件的故障诊断和排除；配合其他条线进行故障处理。</w:t>
            </w:r>
          </w:p>
          <w:p w14:paraId="69A41280">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rPr>
              <w:t>响应时限：（&lt;</w:t>
            </w:r>
            <w:r>
              <w:rPr>
                <w:rFonts w:hint="eastAsia" w:ascii="仿宋_GB2312" w:hAnsi="仿宋_GB2312" w:eastAsia="仿宋_GB2312" w:cs="仿宋_GB2312"/>
                <w:sz w:val="24"/>
                <w:szCs w:val="22"/>
                <w:highlight w:val="none"/>
                <w:lang w:val="en-US" w:eastAsia="zh-CN"/>
              </w:rPr>
              <w:t>15</w:t>
            </w:r>
            <w:r>
              <w:rPr>
                <w:rFonts w:hint="eastAsia" w:ascii="仿宋_GB2312" w:hAnsi="仿宋_GB2312" w:eastAsia="仿宋_GB2312" w:cs="仿宋_GB2312"/>
                <w:sz w:val="24"/>
                <w:szCs w:val="22"/>
                <w:highlight w:val="none"/>
                <w:lang w:val="en-US"/>
              </w:rPr>
              <w:t>）</w:t>
            </w:r>
            <w:r>
              <w:rPr>
                <w:rFonts w:hint="eastAsia" w:ascii="仿宋_GB2312" w:hAnsi="仿宋_GB2312" w:eastAsia="仿宋_GB2312" w:cs="仿宋_GB2312"/>
                <w:sz w:val="24"/>
                <w:szCs w:val="22"/>
                <w:highlight w:val="none"/>
                <w:lang w:val="en-US" w:eastAsia="zh-CN"/>
              </w:rPr>
              <w:t>分钟</w:t>
            </w:r>
          </w:p>
          <w:p w14:paraId="4A43504E">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到达现场时限：（&lt;2）小时</w:t>
            </w:r>
          </w:p>
          <w:p w14:paraId="660B6768">
            <w:pPr>
              <w:pStyle w:val="7"/>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解决问题时限：（&lt;4）小时</w:t>
            </w:r>
          </w:p>
        </w:tc>
      </w:tr>
      <w:tr w14:paraId="68D4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9" w:type="dxa"/>
            <w:noWrap w:val="0"/>
            <w:vAlign w:val="center"/>
          </w:tcPr>
          <w:p w14:paraId="52134D08">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3</w:t>
            </w:r>
          </w:p>
        </w:tc>
        <w:tc>
          <w:tcPr>
            <w:tcW w:w="1332" w:type="dxa"/>
            <w:noWrap w:val="0"/>
            <w:vAlign w:val="center"/>
          </w:tcPr>
          <w:p w14:paraId="265C5084">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lang w:eastAsia="zh-CN"/>
              </w:rPr>
              <w:t>总体要求</w:t>
            </w:r>
          </w:p>
        </w:tc>
        <w:tc>
          <w:tcPr>
            <w:tcW w:w="722" w:type="dxa"/>
            <w:noWrap w:val="0"/>
            <w:vAlign w:val="top"/>
          </w:tcPr>
          <w:p w14:paraId="051C4F3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p>
        </w:tc>
        <w:tc>
          <w:tcPr>
            <w:tcW w:w="5857" w:type="dxa"/>
            <w:noWrap w:val="0"/>
            <w:vAlign w:val="top"/>
          </w:tcPr>
          <w:p w14:paraId="4C5B4F2B">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针对进出口银行业务特点阐述系统实施方法论，并结合方法论，描述完整、可行的系统整体技术方案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实施方案，包括但不限于项目管理、需求确认、系统设计、系统开发、系统测试、系统切换、系统推广等方案，以及试运行策略。</w:t>
            </w:r>
          </w:p>
          <w:p w14:paraId="1D1420F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要求完成项目实施、测试及系统投产</w:t>
            </w:r>
            <w:r>
              <w:rPr>
                <w:rFonts w:hint="eastAsia" w:ascii="仿宋_GB2312" w:hAnsi="仿宋_GB2312" w:eastAsia="仿宋_GB2312" w:cs="仿宋_GB2312"/>
                <w:sz w:val="24"/>
                <w:szCs w:val="22"/>
                <w:highlight w:val="none"/>
                <w:lang w:val="en-US" w:eastAsia="zh-CN"/>
              </w:rPr>
              <w:t>等</w:t>
            </w:r>
            <w:r>
              <w:rPr>
                <w:rFonts w:hint="eastAsia" w:ascii="仿宋_GB2312" w:hAnsi="仿宋_GB2312" w:eastAsia="仿宋_GB2312" w:cs="仿宋_GB2312"/>
                <w:sz w:val="24"/>
                <w:szCs w:val="22"/>
                <w:highlight w:val="none"/>
              </w:rPr>
              <w:t>工作，并阐述系统的项目整体技术方案、实施方案、测试方案、系统投产方案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根据需要附相应模板。对于其中进出口银行有模板要求的交付件，应使用要求的模版进行编写。</w:t>
            </w:r>
          </w:p>
          <w:p w14:paraId="3A7D0A0B">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阐述项目实施的组织架构（其中应包含进出口银行人员），并描述实施预期的时间进度表，提供具有明确里程碑的项目实施计划。</w:t>
            </w:r>
          </w:p>
          <w:p w14:paraId="7A6C7BE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要求提供初步的验收测试计划以及充分的验收标准，并提供系统集成测试和投产测试的测试方案、测试案例和测试工具。</w:t>
            </w:r>
          </w:p>
          <w:p w14:paraId="0AFFA0C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厂商在本项目实施过程中，须服从进出口银行项目管理机构的管理。</w:t>
            </w:r>
          </w:p>
          <w:p w14:paraId="4F290794">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要求厂商提供本项目中所有交付物清单</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包括但不限于项目文档、产品技术文档</w:t>
            </w:r>
            <w:r>
              <w:rPr>
                <w:rFonts w:hint="eastAsia" w:ascii="仿宋_GB2312" w:hAnsi="仿宋_GB2312" w:eastAsia="仿宋_GB2312" w:cs="仿宋_GB2312"/>
                <w:sz w:val="24"/>
                <w:szCs w:val="22"/>
                <w:highlight w:val="none"/>
                <w:lang w:eastAsia="zh-CN"/>
              </w:rPr>
              <w:t>（包括</w:t>
            </w:r>
            <w:r>
              <w:rPr>
                <w:rFonts w:hint="eastAsia" w:ascii="仿宋_GB2312" w:hAnsi="仿宋_GB2312" w:eastAsia="仿宋_GB2312" w:cs="仿宋_GB2312"/>
                <w:sz w:val="24"/>
                <w:szCs w:val="22"/>
                <w:highlight w:val="none"/>
                <w:lang w:val="en-US" w:eastAsia="zh-CN"/>
              </w:rPr>
              <w:t>平台/系统相关的接口和集成技术规范、设计规范等规范类文件，与整体技术方案一并纳入评审范围。如需外部专家参加评审的，乙方负责外部专家评审费用）</w:t>
            </w:r>
            <w:r>
              <w:rPr>
                <w:rFonts w:hint="eastAsia" w:ascii="仿宋_GB2312" w:hAnsi="仿宋_GB2312" w:eastAsia="仿宋_GB2312" w:cs="仿宋_GB2312"/>
                <w:sz w:val="24"/>
                <w:szCs w:val="22"/>
                <w:highlight w:val="none"/>
              </w:rPr>
              <w:t>、用户手册和系统管理手册。</w:t>
            </w:r>
          </w:p>
          <w:p w14:paraId="5B6C55B5">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阐述系统故障应急预案，确保系统在突发状况后能够及时发现，补救，恢复。</w:t>
            </w:r>
          </w:p>
          <w:p w14:paraId="568C1B26">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如有涉及第三方产品及服务，阐述相关产品及服务内容，报价及后期维护方式和费用。</w:t>
            </w:r>
          </w:p>
          <w:p w14:paraId="6BE4A3A5">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在技术方案评审阶段，提供软件物料清单，如涉及开源软件引入和使用的，应按照甲方要求开展引入评审和使用备案后方可使用。提供后续对开源软件的维护及升级支持，纳入维保范围。</w:t>
            </w:r>
          </w:p>
          <w:p w14:paraId="17781D4D">
            <w:pPr>
              <w:pStyle w:val="7"/>
              <w:keepNext w:val="0"/>
              <w:keepLines w:val="0"/>
              <w:pageBreakBefore w:val="0"/>
              <w:kinsoku/>
              <w:wordWrap/>
              <w:overflowPunct/>
              <w:topLinePunct w:val="0"/>
              <w:autoSpaceDE/>
              <w:autoSpaceDN/>
              <w:bidi w:val="0"/>
              <w:adjustRightInd/>
              <w:snapToGrid/>
              <w:spacing w:after="0" w:line="320" w:lineRule="exact"/>
              <w:ind w:firstLine="480" w:firstLineChars="200"/>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项目所涉及系统的新建及升级改造应遵循甲方企业级架构原则进行系统设计，制定系统架构方案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lang w:val="en-US" w:eastAsia="zh-CN"/>
              </w:rPr>
              <w:t>并综合考虑我行国产化替代工作情况</w:t>
            </w:r>
            <w:r>
              <w:rPr>
                <w:rFonts w:hint="eastAsia" w:ascii="仿宋_GB2312" w:hAnsi="仿宋_GB2312" w:eastAsia="仿宋_GB2312" w:cs="仿宋_GB2312"/>
                <w:sz w:val="24"/>
                <w:szCs w:val="22"/>
                <w:highlight w:val="none"/>
              </w:rPr>
              <w:t>。包括但不限于按照我行联机、批量、消息等接口标准与行内系统进行交互；可对接我行统一的用户认证系统，平台内部应用实现单点登录功能；Web页面应基于chrome内核浏览器进行开发等。</w:t>
            </w:r>
          </w:p>
        </w:tc>
      </w:tr>
      <w:tr w14:paraId="3CBB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noWrap w:val="0"/>
            <w:vAlign w:val="center"/>
          </w:tcPr>
          <w:p w14:paraId="261A68E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4</w:t>
            </w:r>
          </w:p>
        </w:tc>
        <w:tc>
          <w:tcPr>
            <w:tcW w:w="1332" w:type="dxa"/>
            <w:noWrap w:val="0"/>
            <w:vAlign w:val="center"/>
          </w:tcPr>
          <w:p w14:paraId="09020C07">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lang w:eastAsia="zh-CN"/>
              </w:rPr>
              <w:t>项目实施要求</w:t>
            </w:r>
          </w:p>
        </w:tc>
        <w:tc>
          <w:tcPr>
            <w:tcW w:w="722" w:type="dxa"/>
            <w:noWrap w:val="0"/>
            <w:vAlign w:val="top"/>
          </w:tcPr>
          <w:p w14:paraId="32B62F6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rPr>
            </w:pPr>
          </w:p>
        </w:tc>
        <w:tc>
          <w:tcPr>
            <w:tcW w:w="5857" w:type="dxa"/>
            <w:noWrap w:val="0"/>
            <w:vAlign w:val="top"/>
          </w:tcPr>
          <w:p w14:paraId="75F2E0B5">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以下列出了本项目实施过程中重要的实施任务，</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rPr>
              <w:t>应承诺完成所有实施任务，并遵守其中相关约定。相关要求参照项目工作说明书。</w:t>
            </w:r>
          </w:p>
          <w:p w14:paraId="3F47BF8B">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（一）项目管理</w:t>
            </w:r>
            <w:r>
              <w:rPr>
                <w:rFonts w:hint="eastAsia" w:ascii="仿宋_GB2312" w:hAnsi="仿宋_GB2312" w:eastAsia="仿宋_GB2312" w:cs="仿宋_GB2312"/>
                <w:sz w:val="24"/>
                <w:szCs w:val="22"/>
                <w:highlight w:val="none"/>
                <w:lang w:eastAsia="zh-CN"/>
              </w:rPr>
              <w:t>。</w:t>
            </w:r>
          </w:p>
          <w:p w14:paraId="2B21E05F">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负责制定项目计划，并按照进出口银行的要求进行必要的调整。监督和控制项目进度。</w:t>
            </w:r>
          </w:p>
          <w:p w14:paraId="5AC5067E">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lang w:eastAsia="zh-CN"/>
              </w:rPr>
              <w:t>负责</w:t>
            </w:r>
            <w:r>
              <w:rPr>
                <w:rFonts w:hint="eastAsia" w:ascii="仿宋_GB2312" w:hAnsi="仿宋_GB2312" w:eastAsia="仿宋_GB2312" w:cs="仿宋_GB2312"/>
                <w:sz w:val="24"/>
                <w:szCs w:val="22"/>
                <w:highlight w:val="none"/>
              </w:rPr>
              <w:t>管理安排项目资源。</w:t>
            </w:r>
          </w:p>
          <w:p w14:paraId="07E5ACFC">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w:t>
            </w:r>
            <w:r>
              <w:rPr>
                <w:rFonts w:hint="eastAsia" w:ascii="仿宋_GB2312" w:hAnsi="仿宋_GB2312" w:eastAsia="仿宋_GB2312" w:cs="仿宋_GB2312"/>
                <w:sz w:val="24"/>
                <w:szCs w:val="22"/>
                <w:highlight w:val="none"/>
                <w:lang w:val="en-US" w:eastAsia="zh-CN"/>
              </w:rPr>
              <w:t>配合</w:t>
            </w:r>
            <w:r>
              <w:rPr>
                <w:rFonts w:hint="eastAsia" w:ascii="仿宋_GB2312" w:hAnsi="仿宋_GB2312" w:eastAsia="仿宋_GB2312" w:cs="仿宋_GB2312"/>
                <w:sz w:val="24"/>
                <w:szCs w:val="22"/>
                <w:highlight w:val="none"/>
              </w:rPr>
              <w:t>管理项目的各项任务执行、人力资源、相互工作配合与交付承诺。</w:t>
            </w:r>
          </w:p>
          <w:p w14:paraId="65660872">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w:t>
            </w:r>
            <w:r>
              <w:rPr>
                <w:rFonts w:hint="eastAsia" w:ascii="仿宋_GB2312" w:hAnsi="仿宋_GB2312" w:eastAsia="仿宋_GB2312" w:cs="仿宋_GB2312"/>
                <w:sz w:val="24"/>
                <w:szCs w:val="22"/>
                <w:highlight w:val="none"/>
                <w:lang w:val="en-US" w:eastAsia="zh-CN"/>
              </w:rPr>
              <w:t>配合</w:t>
            </w:r>
            <w:r>
              <w:rPr>
                <w:rFonts w:hint="eastAsia" w:ascii="仿宋_GB2312" w:hAnsi="仿宋_GB2312" w:eastAsia="仿宋_GB2312" w:cs="仿宋_GB2312"/>
                <w:sz w:val="24"/>
                <w:szCs w:val="22"/>
                <w:highlight w:val="none"/>
              </w:rPr>
              <w:t>管理项目范围和需求变更，并协调变更要求的签署。</w:t>
            </w:r>
          </w:p>
          <w:p w14:paraId="1807323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负责实施项目配置和交付管理以及项目质量管理。</w:t>
            </w:r>
          </w:p>
          <w:p w14:paraId="1B62C6EA">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负责项目问题管理和项目风险管理。</w:t>
            </w:r>
          </w:p>
          <w:p w14:paraId="13A056D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负责与进出口银行进行沟通并按照要求进行工作报告。</w:t>
            </w:r>
          </w:p>
          <w:p w14:paraId="78C00677">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（二）业务功能分析和设计</w:t>
            </w:r>
            <w:r>
              <w:rPr>
                <w:rFonts w:hint="eastAsia" w:ascii="仿宋_GB2312" w:hAnsi="仿宋_GB2312" w:eastAsia="仿宋_GB2312" w:cs="仿宋_GB2312"/>
                <w:sz w:val="24"/>
                <w:szCs w:val="22"/>
                <w:highlight w:val="none"/>
                <w:lang w:eastAsia="zh-CN"/>
              </w:rPr>
              <w:t>。</w:t>
            </w:r>
          </w:p>
          <w:p w14:paraId="1F6ADA2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负责对本项目需求梳理细化。</w:t>
            </w:r>
          </w:p>
          <w:p w14:paraId="131F3F8F">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负责业务需求差异分析和评估。</w:t>
            </w:r>
          </w:p>
          <w:p w14:paraId="329FF17C">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负责业务功能分析和制定。</w:t>
            </w:r>
          </w:p>
          <w:p w14:paraId="0BA31D3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负责编写需求规格说明书。</w:t>
            </w:r>
          </w:p>
          <w:p w14:paraId="74D6B01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负责提出与周边系统的集成解决方案。</w:t>
            </w:r>
          </w:p>
          <w:p w14:paraId="536F6ED1">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负责系统配置设计、界面设计、扩展功能开发设计、数据转换设计等。</w:t>
            </w:r>
          </w:p>
          <w:p w14:paraId="322E4066">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（三）技术架构分析和设计</w:t>
            </w:r>
            <w:r>
              <w:rPr>
                <w:rFonts w:hint="eastAsia" w:ascii="仿宋_GB2312" w:hAnsi="仿宋_GB2312" w:eastAsia="仿宋_GB2312" w:cs="仿宋_GB2312"/>
                <w:sz w:val="24"/>
                <w:szCs w:val="22"/>
                <w:highlight w:val="none"/>
                <w:lang w:eastAsia="zh-CN"/>
              </w:rPr>
              <w:t>。</w:t>
            </w:r>
          </w:p>
          <w:p w14:paraId="11D3A75F">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负责制定技术架构方案。</w:t>
            </w:r>
          </w:p>
          <w:p w14:paraId="3F916D88">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负责制定运维管理方案。</w:t>
            </w:r>
          </w:p>
          <w:p w14:paraId="013C68B7">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负责分析接口定义并提出技术实现方案。</w:t>
            </w:r>
          </w:p>
          <w:p w14:paraId="20FBF9D4">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负责评估与进出口银行总体技术架构的差异，并编写技术规格说明书。</w:t>
            </w:r>
          </w:p>
          <w:p w14:paraId="21E6FCA7">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负责提出开发与测试环境的构建方案。</w:t>
            </w:r>
          </w:p>
          <w:p w14:paraId="34D47CE4">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负责提出生产环境的构建方案。</w:t>
            </w:r>
          </w:p>
          <w:p w14:paraId="7CC56D82">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负责编写技术设计说明书。</w:t>
            </w:r>
          </w:p>
          <w:p w14:paraId="754E4BA7">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（四）业务功能构建</w:t>
            </w:r>
            <w:r>
              <w:rPr>
                <w:rFonts w:hint="eastAsia" w:ascii="仿宋_GB2312" w:hAnsi="仿宋_GB2312" w:eastAsia="仿宋_GB2312" w:cs="仿宋_GB2312"/>
                <w:sz w:val="24"/>
                <w:szCs w:val="22"/>
                <w:highlight w:val="none"/>
                <w:lang w:eastAsia="zh-CN"/>
              </w:rPr>
              <w:t>。</w:t>
            </w:r>
          </w:p>
          <w:p w14:paraId="7F934FD6">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负责提出参数配置模版及配置方案。</w:t>
            </w:r>
          </w:p>
          <w:p w14:paraId="269FF1E6">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负责进行客户化部分的详细设计，并编写详细设计说明书。</w:t>
            </w:r>
          </w:p>
          <w:p w14:paraId="0B5A1CCD">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负责接口开发、扩展功能开发、数据转换开发。</w:t>
            </w:r>
          </w:p>
          <w:p w14:paraId="58D5DB80">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负责计划、准备与执行单元测试。</w:t>
            </w:r>
          </w:p>
          <w:p w14:paraId="26A0F7BC">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负责确认单元测试结果并提交单元测试报告。</w:t>
            </w:r>
          </w:p>
          <w:p w14:paraId="393086D8">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（五）技术架构构建</w:t>
            </w:r>
            <w:r>
              <w:rPr>
                <w:rFonts w:hint="eastAsia" w:ascii="仿宋_GB2312" w:hAnsi="仿宋_GB2312" w:eastAsia="仿宋_GB2312" w:cs="仿宋_GB2312"/>
                <w:sz w:val="24"/>
                <w:szCs w:val="22"/>
                <w:highlight w:val="none"/>
                <w:lang w:eastAsia="zh-CN"/>
              </w:rPr>
              <w:t>。</w:t>
            </w:r>
          </w:p>
          <w:p w14:paraId="3F9CA376">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负责测试环境的构建与确认。</w:t>
            </w:r>
          </w:p>
          <w:p w14:paraId="6DB0C7D7">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负责就测试环境管理流程和制度与进出口银行达成一致。</w:t>
            </w:r>
          </w:p>
          <w:p w14:paraId="0191609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负责进行测试环境下的应用系统的安装和配置。</w:t>
            </w:r>
          </w:p>
          <w:p w14:paraId="349AB2CF">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（六）产品测试和性能测试</w:t>
            </w:r>
            <w:r>
              <w:rPr>
                <w:rFonts w:hint="eastAsia" w:ascii="仿宋_GB2312" w:hAnsi="仿宋_GB2312" w:eastAsia="仿宋_GB2312" w:cs="仿宋_GB2312"/>
                <w:sz w:val="24"/>
                <w:szCs w:val="22"/>
                <w:highlight w:val="none"/>
                <w:lang w:eastAsia="zh-CN"/>
              </w:rPr>
              <w:t>。</w:t>
            </w:r>
          </w:p>
          <w:p w14:paraId="27AA1324">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负责产品测试的计划、准备和执行。</w:t>
            </w:r>
          </w:p>
          <w:p w14:paraId="2F599DC1">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负责系统修补，并完成产品测试报告。</w:t>
            </w:r>
          </w:p>
          <w:p w14:paraId="66DB862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负责性能测试的计划、准备和执行。</w:t>
            </w:r>
          </w:p>
          <w:p w14:paraId="493BA3FD">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负责系统调优和进一步的性能测试，并负责完成性能测试报告。</w:t>
            </w:r>
          </w:p>
          <w:p w14:paraId="3BD981F0">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（七）系统集成测试</w:t>
            </w:r>
            <w:r>
              <w:rPr>
                <w:rFonts w:hint="eastAsia" w:ascii="仿宋_GB2312" w:hAnsi="仿宋_GB2312" w:eastAsia="仿宋_GB2312" w:cs="仿宋_GB2312"/>
                <w:sz w:val="24"/>
                <w:szCs w:val="22"/>
                <w:highlight w:val="none"/>
                <w:lang w:eastAsia="zh-CN"/>
              </w:rPr>
              <w:t>。</w:t>
            </w:r>
          </w:p>
          <w:p w14:paraId="5F61ABCE">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负责提出系统集成测试计划和方案。</w:t>
            </w:r>
          </w:p>
          <w:p w14:paraId="38CAD8E2">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负责完成系统集成测试案例、测试脚本以及相关的测试数据。</w:t>
            </w:r>
          </w:p>
          <w:p w14:paraId="01193BA2">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负责在进出口银行统一管理下执行系统集成测试，进行系统修补和必要的回归测试。</w:t>
            </w:r>
          </w:p>
          <w:p w14:paraId="6D9A5325">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负责完成相应的系统集成测试报告。</w:t>
            </w:r>
          </w:p>
          <w:p w14:paraId="24B1C310">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（八）用户验收测试</w:t>
            </w:r>
            <w:r>
              <w:rPr>
                <w:rFonts w:hint="eastAsia" w:ascii="仿宋_GB2312" w:hAnsi="仿宋_GB2312" w:eastAsia="仿宋_GB2312" w:cs="仿宋_GB2312"/>
                <w:sz w:val="24"/>
                <w:szCs w:val="22"/>
                <w:highlight w:val="none"/>
                <w:lang w:eastAsia="zh-CN"/>
              </w:rPr>
              <w:t>。</w:t>
            </w:r>
          </w:p>
          <w:p w14:paraId="507AE09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协助提出用户验收测试计划和方案。</w:t>
            </w:r>
          </w:p>
          <w:p w14:paraId="0D2C5ECD">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协助准备用户验收测试案例、测试脚本和数据。</w:t>
            </w:r>
          </w:p>
          <w:p w14:paraId="6315A14B">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协助执行用户验收测试。</w:t>
            </w:r>
          </w:p>
          <w:p w14:paraId="1E812791">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负责系统修补。</w:t>
            </w:r>
          </w:p>
          <w:p w14:paraId="47A0B5DC">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协助进行回归测试、协助完成用户验收测试报告。</w:t>
            </w:r>
          </w:p>
          <w:p w14:paraId="6A7BC2F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（九）投产和推广（包括投产、试运行、正式运行、最终验收）</w:t>
            </w:r>
            <w:r>
              <w:rPr>
                <w:rFonts w:hint="eastAsia" w:ascii="仿宋_GB2312" w:hAnsi="仿宋_GB2312" w:eastAsia="仿宋_GB2312" w:cs="仿宋_GB2312"/>
                <w:sz w:val="24"/>
                <w:szCs w:val="22"/>
                <w:highlight w:val="none"/>
                <w:lang w:eastAsia="zh-CN"/>
              </w:rPr>
              <w:t>。</w:t>
            </w:r>
          </w:p>
          <w:p w14:paraId="70DC3024">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根据需要负责制定上线演练计划和方案。</w:t>
            </w:r>
          </w:p>
          <w:p w14:paraId="5E17305A">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负责制定投产演练方案、运维测试方案，负责运维培训，配合行方完成投产演练和运维测试工作。</w:t>
            </w:r>
          </w:p>
          <w:p w14:paraId="564B529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在进出口银行统一管理下执行上线演练。</w:t>
            </w:r>
          </w:p>
          <w:p w14:paraId="57AC6090">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负责制定投产上线范围、制定系统（数据、业务）投产上线计划。</w:t>
            </w:r>
          </w:p>
          <w:p w14:paraId="74B20181">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负责制定投产上线操作方案、流程和策略，并制定应急和恢复方案。</w:t>
            </w:r>
          </w:p>
          <w:p w14:paraId="1D74A854">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负责制定试运行方案、流程和策略，并制定应急和恢复方案。</w:t>
            </w:r>
          </w:p>
          <w:p w14:paraId="08F7EB7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协助进出口银行进行推广文档编制。</w:t>
            </w:r>
          </w:p>
          <w:p w14:paraId="494C2EBC">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协助进出口银行完成投产上线。</w:t>
            </w:r>
          </w:p>
          <w:p w14:paraId="7CC68063">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支持系统试运行工作。</w:t>
            </w:r>
          </w:p>
          <w:p w14:paraId="43776095">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协助进出口银行完成系统最终验收。</w:t>
            </w:r>
          </w:p>
          <w:p w14:paraId="3B1DDCED">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（十）第三方测试（如</w:t>
            </w:r>
            <w:r>
              <w:rPr>
                <w:rFonts w:hint="eastAsia" w:ascii="仿宋_GB2312" w:hAnsi="仿宋_GB2312" w:eastAsia="仿宋_GB2312" w:cs="仿宋_GB2312"/>
                <w:sz w:val="24"/>
                <w:szCs w:val="22"/>
                <w:highlight w:val="none"/>
                <w:lang w:val="en-US" w:eastAsia="zh-CN"/>
              </w:rPr>
              <w:t>有</w:t>
            </w:r>
            <w:r>
              <w:rPr>
                <w:rFonts w:hint="eastAsia" w:ascii="仿宋_GB2312" w:hAnsi="仿宋_GB2312" w:eastAsia="仿宋_GB2312" w:cs="仿宋_GB2312"/>
                <w:sz w:val="24"/>
                <w:szCs w:val="22"/>
                <w:highlight w:val="none"/>
              </w:rPr>
              <w:t>）</w:t>
            </w:r>
            <w:r>
              <w:rPr>
                <w:rFonts w:hint="eastAsia" w:ascii="仿宋_GB2312" w:hAnsi="仿宋_GB2312" w:eastAsia="仿宋_GB2312" w:cs="仿宋_GB2312"/>
                <w:sz w:val="24"/>
                <w:szCs w:val="22"/>
                <w:highlight w:val="none"/>
                <w:lang w:eastAsia="zh-CN"/>
              </w:rPr>
              <w:t>。</w:t>
            </w:r>
          </w:p>
          <w:p w14:paraId="61959E97">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负责准备测试对象的搭建及调试。</w:t>
            </w:r>
          </w:p>
          <w:p w14:paraId="73E274B9">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负责按第三方测试要求准备测试数据。</w:t>
            </w:r>
          </w:p>
          <w:p w14:paraId="7D059B5C">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为第三方测试提供技术支持。</w:t>
            </w:r>
          </w:p>
          <w:p w14:paraId="79C3BB5E">
            <w:pPr>
              <w:pStyle w:val="7"/>
              <w:keepNext w:val="0"/>
              <w:keepLines w:val="0"/>
              <w:pageBreakBefore w:val="0"/>
              <w:kinsoku/>
              <w:wordWrap/>
              <w:overflowPunct/>
              <w:topLinePunct w:val="0"/>
              <w:autoSpaceDE/>
              <w:autoSpaceDN/>
              <w:bidi w:val="0"/>
              <w:adjustRightInd/>
              <w:snapToGrid/>
              <w:spacing w:after="0" w:line="320" w:lineRule="exact"/>
              <w:ind w:firstLine="480" w:firstLineChars="200"/>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负责缺陷修复。</w:t>
            </w:r>
          </w:p>
        </w:tc>
      </w:tr>
      <w:tr w14:paraId="6A7C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noWrap w:val="0"/>
            <w:vAlign w:val="center"/>
          </w:tcPr>
          <w:p w14:paraId="7AE917F4">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5</w:t>
            </w:r>
          </w:p>
        </w:tc>
        <w:tc>
          <w:tcPr>
            <w:tcW w:w="1332" w:type="dxa"/>
            <w:noWrap w:val="0"/>
            <w:vAlign w:val="center"/>
          </w:tcPr>
          <w:p w14:paraId="5AB28A54">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kern w:val="2"/>
                <w:sz w:val="24"/>
                <w:szCs w:val="22"/>
                <w:highlight w:val="none"/>
              </w:rPr>
              <w:t>培训及知识转移要求</w:t>
            </w:r>
          </w:p>
        </w:tc>
        <w:tc>
          <w:tcPr>
            <w:tcW w:w="722" w:type="dxa"/>
            <w:noWrap w:val="0"/>
            <w:vAlign w:val="top"/>
          </w:tcPr>
          <w:p w14:paraId="7B9BB1C2">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2"/>
                <w:highlight w:val="none"/>
                <w:lang w:val="en-US" w:eastAsia="zh-CN"/>
              </w:rPr>
            </w:pPr>
          </w:p>
        </w:tc>
        <w:tc>
          <w:tcPr>
            <w:tcW w:w="5857" w:type="dxa"/>
            <w:noWrap w:val="0"/>
            <w:vAlign w:val="top"/>
          </w:tcPr>
          <w:p w14:paraId="4F692B28">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（一）培训对象：培训对象包括进出口银行的开发人员、系统运行维护管理人员，以及其他相关人员。</w:t>
            </w:r>
          </w:p>
          <w:p w14:paraId="74355502">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（二）培训目标：通过培训，应使上述人员掌握系统提供的内容和功能，以及使用权限划分与操作方式。</w:t>
            </w:r>
          </w:p>
          <w:p w14:paraId="65D66592">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（三）培训内容：</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应具有知识和技术转移的意愿，并阐述详细的实际措施，以对项目实施阶段的参与者及项目最终的使用和运维团队进行全面、有效的知识转移。</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需向进出口银行提供系统在配置、开发、安装、使用、监控和维护等方面的培训。</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须详细列出各阶段培训的服务清单和培训费用，服务清单包括培训内容、授课方式、培训对象、时间计划安排和培训反馈处理等，对项目实施阶段的参与者及项目最终的使用和运维团队进行全面、有效的知识转移，确保进出口银行形成一支熟悉系统运用和维护的专家队伍。</w:t>
            </w:r>
          </w:p>
          <w:p w14:paraId="27CF4A71">
            <w:pPr>
              <w:pStyle w:val="7"/>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（四）培训材料：</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为所有被培训人员提供完备的文字资料（书面及电子版）和讲义（书面及电子版）等相关用品。</w:t>
            </w:r>
          </w:p>
        </w:tc>
      </w:tr>
    </w:tbl>
    <w:p w14:paraId="6A6953E0">
      <w:pPr>
        <w:pStyle w:val="2"/>
        <w:rPr>
          <w:rFonts w:hint="default"/>
        </w:rPr>
      </w:pPr>
    </w:p>
    <w:p w14:paraId="510F873E">
      <w:pPr>
        <w:pageBreakBefore w:val="0"/>
        <w:numPr>
          <w:ilvl w:val="0"/>
          <w:numId w:val="0"/>
        </w:numPr>
        <w:kinsoku/>
        <w:overflowPunct/>
        <w:topLinePunct w:val="0"/>
        <w:autoSpaceDE/>
        <w:autoSpaceDN/>
        <w:bidi w:val="0"/>
        <w:snapToGrid/>
        <w:spacing w:beforeLines="0" w:afterLines="0" w:line="560" w:lineRule="exact"/>
        <w:ind w:firstLine="640" w:firstLineChars="200"/>
        <w:rPr>
          <w:rFonts w:hint="eastAsia" w:ascii="楷体_GB2312" w:hAnsi="楷体_GB2312" w:eastAsia="楷体_GB2312" w:cs="楷体_GB2312"/>
          <w:bCs/>
          <w:color w:val="auto"/>
          <w:sz w:val="32"/>
          <w:szCs w:val="22"/>
          <w:highlight w:val="none"/>
        </w:rPr>
      </w:pPr>
      <w:r>
        <w:rPr>
          <w:rFonts w:hint="eastAsia" w:ascii="楷体_GB2312" w:hAnsi="楷体_GB2312" w:eastAsia="楷体_GB2312" w:cs="楷体_GB2312"/>
          <w:color w:val="auto"/>
          <w:sz w:val="32"/>
          <w:szCs w:val="28"/>
          <w:highlight w:val="none"/>
          <w:lang w:val="en-US" w:eastAsia="zh-CN"/>
        </w:rPr>
        <w:t>（二）主要交付物</w:t>
      </w:r>
    </w:p>
    <w:p w14:paraId="646D8B7E">
      <w:pPr>
        <w:pStyle w:val="37"/>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hAnsi="楷体" w:eastAsia="仿宋_GB2312"/>
          <w:color w:val="auto"/>
          <w:sz w:val="32"/>
          <w:szCs w:val="28"/>
          <w:lang w:val="en-US" w:eastAsia="zh-CN"/>
        </w:rPr>
      </w:pPr>
      <w:r>
        <w:rPr>
          <w:rFonts w:hint="eastAsia" w:hAnsi="楷体" w:eastAsia="仿宋_GB2312"/>
          <w:color w:val="auto"/>
          <w:sz w:val="32"/>
          <w:szCs w:val="28"/>
          <w:lang w:val="en-US" w:eastAsia="zh-CN"/>
        </w:rPr>
        <w:t>在项目工作书中明确交付物类型、内容及交付形式，包含但不限于以下内容。</w:t>
      </w:r>
    </w:p>
    <w:tbl>
      <w:tblPr>
        <w:tblStyle w:val="19"/>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7157"/>
      </w:tblGrid>
      <w:tr w14:paraId="4936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2" w:type="pct"/>
            <w:shd w:val="clear" w:color="auto" w:fill="BEBEBE"/>
            <w:noWrap w:val="0"/>
            <w:vAlign w:val="center"/>
          </w:tcPr>
          <w:p w14:paraId="395A0825">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过程域</w:t>
            </w:r>
          </w:p>
        </w:tc>
        <w:tc>
          <w:tcPr>
            <w:tcW w:w="4177" w:type="pct"/>
            <w:shd w:val="clear" w:color="auto" w:fill="BEBEBE"/>
            <w:noWrap w:val="0"/>
            <w:vAlign w:val="center"/>
          </w:tcPr>
          <w:p w14:paraId="03C259EB">
            <w:pPr>
              <w:spacing w:line="240" w:lineRule="auto"/>
              <w:jc w:val="center"/>
              <w:rPr>
                <w:rFonts w:hint="eastAsia" w:ascii="仿宋_GB2312" w:hAnsi="仿宋_GB2312" w:eastAsia="仿宋_GB2312" w:cs="仿宋_GB2312"/>
                <w:b/>
              </w:rPr>
            </w:pPr>
            <w:r>
              <w:rPr>
                <w:rFonts w:hint="eastAsia" w:ascii="仿宋_GB2312" w:hAnsi="仿宋_GB2312" w:eastAsia="仿宋_GB2312" w:cs="仿宋_GB2312"/>
                <w:b/>
              </w:rPr>
              <w:t>文档</w:t>
            </w:r>
          </w:p>
        </w:tc>
      </w:tr>
      <w:tr w14:paraId="72F2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501D7DEC">
            <w:pPr>
              <w:spacing w:line="240" w:lineRule="auto"/>
              <w:rPr>
                <w:rFonts w:hint="eastAsia" w:ascii="仿宋_GB2312" w:hAnsi="仿宋_GB2312" w:eastAsia="仿宋_GB2312" w:cs="仿宋_GB2312"/>
              </w:rPr>
            </w:pPr>
            <w:r>
              <w:rPr>
                <w:rFonts w:hint="eastAsia" w:ascii="仿宋_GB2312" w:hAnsi="仿宋_GB2312" w:eastAsia="仿宋_GB2312" w:cs="仿宋_GB2312"/>
              </w:rPr>
              <w:t>项目管理</w:t>
            </w:r>
          </w:p>
        </w:tc>
        <w:tc>
          <w:tcPr>
            <w:tcW w:w="4177" w:type="pct"/>
            <w:noWrap w:val="0"/>
            <w:vAlign w:val="center"/>
          </w:tcPr>
          <w:p w14:paraId="76F211AC">
            <w:pPr>
              <w:spacing w:line="240" w:lineRule="auto"/>
              <w:rPr>
                <w:rFonts w:hint="eastAsia" w:ascii="仿宋_GB2312" w:hAnsi="仿宋_GB2312" w:eastAsia="仿宋_GB2312" w:cs="仿宋_GB2312"/>
              </w:rPr>
            </w:pPr>
            <w:r>
              <w:rPr>
                <w:rFonts w:hint="eastAsia" w:ascii="仿宋_GB2312" w:hAnsi="仿宋_GB2312" w:eastAsia="仿宋_GB2312" w:cs="仿宋_GB2312"/>
              </w:rPr>
              <w:t>《项目详细实施计划》</w:t>
            </w:r>
          </w:p>
        </w:tc>
      </w:tr>
      <w:tr w14:paraId="0B2F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DAE1C6F">
            <w:pPr>
              <w:spacing w:line="240" w:lineRule="auto"/>
              <w:rPr>
                <w:rFonts w:hint="eastAsia" w:ascii="仿宋_GB2312" w:hAnsi="仿宋_GB2312" w:eastAsia="仿宋_GB2312" w:cs="仿宋_GB2312"/>
              </w:rPr>
            </w:pPr>
          </w:p>
        </w:tc>
        <w:tc>
          <w:tcPr>
            <w:tcW w:w="4177" w:type="pct"/>
            <w:noWrap w:val="0"/>
            <w:vAlign w:val="center"/>
          </w:tcPr>
          <w:p w14:paraId="1EBEE15F">
            <w:pPr>
              <w:spacing w:line="240" w:lineRule="auto"/>
              <w:rPr>
                <w:rFonts w:hint="eastAsia" w:ascii="仿宋_GB2312" w:hAnsi="仿宋_GB2312" w:eastAsia="仿宋_GB2312" w:cs="仿宋_GB2312"/>
              </w:rPr>
            </w:pPr>
            <w:r>
              <w:rPr>
                <w:rFonts w:hint="eastAsia" w:ascii="仿宋_GB2312" w:hAnsi="仿宋_GB2312" w:eastAsia="仿宋_GB2312" w:cs="仿宋_GB2312"/>
              </w:rPr>
              <w:t>《项目质量审计报告》</w:t>
            </w:r>
          </w:p>
        </w:tc>
      </w:tr>
      <w:tr w14:paraId="2AFF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359985E9">
            <w:pPr>
              <w:spacing w:line="240" w:lineRule="auto"/>
              <w:rPr>
                <w:rFonts w:hint="eastAsia" w:ascii="仿宋_GB2312" w:hAnsi="仿宋_GB2312" w:eastAsia="仿宋_GB2312" w:cs="仿宋_GB2312"/>
              </w:rPr>
            </w:pPr>
          </w:p>
        </w:tc>
        <w:tc>
          <w:tcPr>
            <w:tcW w:w="4177" w:type="pct"/>
            <w:noWrap w:val="0"/>
            <w:vAlign w:val="center"/>
          </w:tcPr>
          <w:p w14:paraId="7FD2B8CF">
            <w:pPr>
              <w:spacing w:line="240" w:lineRule="auto"/>
              <w:rPr>
                <w:rFonts w:hint="eastAsia" w:ascii="仿宋_GB2312" w:hAnsi="仿宋_GB2312" w:eastAsia="仿宋_GB2312" w:cs="仿宋_GB2312"/>
              </w:rPr>
            </w:pPr>
            <w:r>
              <w:rPr>
                <w:rFonts w:hint="eastAsia" w:ascii="仿宋_GB2312" w:hAnsi="仿宋_GB2312" w:eastAsia="仿宋_GB2312" w:cs="仿宋_GB2312"/>
              </w:rPr>
              <w:t>《关键人员简历》</w:t>
            </w:r>
            <w:r>
              <w:rPr>
                <w:rFonts w:hint="eastAsia" w:ascii="仿宋_GB2312" w:hAnsi="仿宋_GB2312" w:eastAsia="仿宋_GB2312" w:cs="仿宋_GB2312"/>
              </w:rPr>
              <w:tab/>
            </w:r>
          </w:p>
        </w:tc>
      </w:tr>
      <w:tr w14:paraId="5B50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916D913">
            <w:pPr>
              <w:spacing w:line="240" w:lineRule="auto"/>
              <w:rPr>
                <w:rFonts w:hint="eastAsia" w:ascii="仿宋_GB2312" w:hAnsi="仿宋_GB2312" w:eastAsia="仿宋_GB2312" w:cs="仿宋_GB2312"/>
              </w:rPr>
            </w:pPr>
          </w:p>
        </w:tc>
        <w:tc>
          <w:tcPr>
            <w:tcW w:w="4177" w:type="pct"/>
            <w:noWrap w:val="0"/>
            <w:vAlign w:val="center"/>
          </w:tcPr>
          <w:p w14:paraId="3CFEC23E">
            <w:pPr>
              <w:spacing w:line="240" w:lineRule="auto"/>
              <w:rPr>
                <w:rFonts w:hint="eastAsia" w:ascii="仿宋_GB2312" w:hAnsi="仿宋_GB2312" w:eastAsia="仿宋_GB2312" w:cs="仿宋_GB2312"/>
              </w:rPr>
            </w:pPr>
            <w:r>
              <w:rPr>
                <w:rFonts w:hint="eastAsia" w:ascii="仿宋_GB2312" w:hAnsi="仿宋_GB2312" w:eastAsia="仿宋_GB2312" w:cs="仿宋_GB2312"/>
              </w:rPr>
              <w:t>《关键人员人力资源变动报告》</w:t>
            </w:r>
          </w:p>
        </w:tc>
      </w:tr>
      <w:tr w14:paraId="657D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22" w:type="pct"/>
            <w:vMerge w:val="continue"/>
            <w:noWrap w:val="0"/>
            <w:vAlign w:val="center"/>
          </w:tcPr>
          <w:p w14:paraId="65D0F537">
            <w:pPr>
              <w:spacing w:line="240" w:lineRule="auto"/>
              <w:rPr>
                <w:rFonts w:hint="eastAsia" w:ascii="仿宋_GB2312" w:hAnsi="仿宋_GB2312" w:eastAsia="仿宋_GB2312" w:cs="仿宋_GB2312"/>
              </w:rPr>
            </w:pPr>
          </w:p>
        </w:tc>
        <w:tc>
          <w:tcPr>
            <w:tcW w:w="4177" w:type="pct"/>
            <w:noWrap w:val="0"/>
            <w:vAlign w:val="center"/>
          </w:tcPr>
          <w:p w14:paraId="315CEA58">
            <w:pPr>
              <w:spacing w:line="240" w:lineRule="auto"/>
              <w:rPr>
                <w:rFonts w:hint="eastAsia" w:ascii="仿宋_GB2312" w:hAnsi="仿宋_GB2312" w:eastAsia="仿宋_GB2312" w:cs="仿宋_GB2312"/>
              </w:rPr>
            </w:pPr>
            <w:r>
              <w:rPr>
                <w:rFonts w:hint="eastAsia" w:ascii="仿宋_GB2312" w:hAnsi="仿宋_GB2312" w:eastAsia="仿宋_GB2312" w:cs="仿宋_GB2312"/>
              </w:rPr>
              <w:t>项目状态报告：日常管理采用周报</w:t>
            </w:r>
          </w:p>
        </w:tc>
      </w:tr>
      <w:tr w14:paraId="680C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2B5C7DCA">
            <w:pPr>
              <w:spacing w:line="240" w:lineRule="auto"/>
              <w:rPr>
                <w:rFonts w:hint="eastAsia" w:ascii="仿宋_GB2312" w:hAnsi="仿宋_GB2312" w:eastAsia="仿宋_GB2312" w:cs="仿宋_GB2312"/>
              </w:rPr>
            </w:pPr>
            <w:r>
              <w:rPr>
                <w:rFonts w:hint="eastAsia" w:ascii="仿宋_GB2312" w:hAnsi="仿宋_GB2312" w:eastAsia="仿宋_GB2312" w:cs="仿宋_GB2312"/>
              </w:rPr>
              <w:t>需求分析</w:t>
            </w:r>
          </w:p>
        </w:tc>
        <w:tc>
          <w:tcPr>
            <w:tcW w:w="4177" w:type="pct"/>
            <w:noWrap w:val="0"/>
            <w:vAlign w:val="top"/>
          </w:tcPr>
          <w:p w14:paraId="6DB2EAE6">
            <w:pPr>
              <w:spacing w:line="240" w:lineRule="auto"/>
              <w:rPr>
                <w:rFonts w:hint="eastAsia" w:ascii="仿宋_GB2312" w:hAnsi="仿宋_GB2312" w:eastAsia="仿宋_GB2312" w:cs="仿宋_GB2312"/>
              </w:rPr>
            </w:pPr>
            <w:r>
              <w:rPr>
                <w:rFonts w:hint="eastAsia" w:ascii="仿宋_GB2312" w:hAnsi="仿宋_GB2312" w:eastAsia="仿宋_GB2312" w:cs="仿宋_GB2312"/>
              </w:rPr>
              <w:t>《功能需求规格说明书》</w:t>
            </w:r>
            <w:r>
              <w:rPr>
                <w:rFonts w:hint="eastAsia" w:ascii="仿宋_GB2312" w:hAnsi="仿宋_GB2312" w:eastAsia="仿宋_GB2312" w:cs="仿宋_GB2312"/>
              </w:rPr>
              <w:tab/>
            </w:r>
          </w:p>
        </w:tc>
      </w:tr>
      <w:tr w14:paraId="4CB3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131DDAE3">
            <w:pPr>
              <w:spacing w:line="240" w:lineRule="auto"/>
              <w:rPr>
                <w:rFonts w:hint="eastAsia" w:ascii="仿宋_GB2312" w:hAnsi="仿宋_GB2312" w:eastAsia="仿宋_GB2312" w:cs="仿宋_GB2312"/>
              </w:rPr>
            </w:pPr>
          </w:p>
        </w:tc>
        <w:tc>
          <w:tcPr>
            <w:tcW w:w="4177" w:type="pct"/>
            <w:noWrap w:val="0"/>
            <w:vAlign w:val="top"/>
          </w:tcPr>
          <w:p w14:paraId="5FAF607C">
            <w:pPr>
              <w:spacing w:line="240" w:lineRule="auto"/>
              <w:rPr>
                <w:rFonts w:hint="eastAsia" w:ascii="仿宋_GB2312" w:hAnsi="仿宋_GB2312" w:eastAsia="仿宋_GB2312" w:cs="仿宋_GB2312"/>
              </w:rPr>
            </w:pPr>
            <w:r>
              <w:rPr>
                <w:rFonts w:hint="eastAsia" w:ascii="仿宋_GB2312" w:hAnsi="仿宋_GB2312" w:eastAsia="仿宋_GB2312" w:cs="仿宋_GB2312"/>
              </w:rPr>
              <w:t>《非功能需求规格说明书》（如有）</w:t>
            </w:r>
          </w:p>
        </w:tc>
      </w:tr>
      <w:tr w14:paraId="7F48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restart"/>
            <w:noWrap w:val="0"/>
            <w:vAlign w:val="center"/>
          </w:tcPr>
          <w:p w14:paraId="4CE37905">
            <w:pPr>
              <w:spacing w:line="240" w:lineRule="auto"/>
              <w:rPr>
                <w:rFonts w:hint="eastAsia" w:ascii="仿宋_GB2312" w:hAnsi="仿宋_GB2312" w:eastAsia="仿宋_GB2312" w:cs="仿宋_GB2312"/>
              </w:rPr>
            </w:pPr>
            <w:r>
              <w:rPr>
                <w:rFonts w:hint="eastAsia" w:ascii="仿宋_GB2312" w:hAnsi="仿宋_GB2312" w:eastAsia="仿宋_GB2312" w:cs="仿宋_GB2312"/>
              </w:rPr>
              <w:t>设计</w:t>
            </w:r>
          </w:p>
        </w:tc>
        <w:tc>
          <w:tcPr>
            <w:tcW w:w="4177" w:type="pct"/>
            <w:noWrap w:val="0"/>
            <w:vAlign w:val="top"/>
          </w:tcPr>
          <w:p w14:paraId="786E8B15">
            <w:pPr>
              <w:spacing w:line="240" w:lineRule="auto"/>
              <w:rPr>
                <w:rFonts w:hint="eastAsia" w:ascii="仿宋_GB2312" w:hAnsi="仿宋_GB2312" w:eastAsia="仿宋_GB2312" w:cs="仿宋_GB2312"/>
              </w:rPr>
            </w:pPr>
            <w:r>
              <w:rPr>
                <w:rFonts w:hint="eastAsia" w:ascii="仿宋_GB2312" w:hAnsi="仿宋_GB2312" w:eastAsia="仿宋_GB2312" w:cs="仿宋_GB2312"/>
              </w:rPr>
              <w:t>《概要设计说明书》</w:t>
            </w:r>
          </w:p>
        </w:tc>
      </w:tr>
      <w:tr w14:paraId="7EB9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2437BAE1">
            <w:pPr>
              <w:spacing w:line="240" w:lineRule="auto"/>
              <w:rPr>
                <w:rFonts w:hint="eastAsia" w:ascii="仿宋_GB2312" w:hAnsi="仿宋_GB2312" w:eastAsia="仿宋_GB2312" w:cs="仿宋_GB2312"/>
              </w:rPr>
            </w:pPr>
          </w:p>
        </w:tc>
        <w:tc>
          <w:tcPr>
            <w:tcW w:w="4177" w:type="pct"/>
            <w:noWrap w:val="0"/>
            <w:vAlign w:val="top"/>
          </w:tcPr>
          <w:p w14:paraId="08C87D06">
            <w:pPr>
              <w:spacing w:line="240" w:lineRule="auto"/>
              <w:rPr>
                <w:rFonts w:hint="eastAsia" w:ascii="仿宋_GB2312" w:hAnsi="仿宋_GB2312" w:eastAsia="仿宋_GB2312" w:cs="仿宋_GB2312"/>
              </w:rPr>
            </w:pPr>
            <w:r>
              <w:rPr>
                <w:rFonts w:hint="eastAsia" w:ascii="仿宋_GB2312" w:hAnsi="仿宋_GB2312" w:eastAsia="仿宋_GB2312" w:cs="仿宋_GB2312"/>
              </w:rPr>
              <w:t>《详细设计说明书》</w:t>
            </w:r>
          </w:p>
        </w:tc>
      </w:tr>
      <w:tr w14:paraId="2755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3B2B691F">
            <w:pPr>
              <w:spacing w:line="240" w:lineRule="auto"/>
              <w:rPr>
                <w:rFonts w:hint="eastAsia" w:ascii="仿宋_GB2312" w:hAnsi="仿宋_GB2312" w:eastAsia="仿宋_GB2312" w:cs="仿宋_GB2312"/>
              </w:rPr>
            </w:pPr>
          </w:p>
        </w:tc>
        <w:tc>
          <w:tcPr>
            <w:tcW w:w="4177" w:type="pct"/>
            <w:noWrap w:val="0"/>
            <w:vAlign w:val="top"/>
          </w:tcPr>
          <w:p w14:paraId="69434637">
            <w:pPr>
              <w:spacing w:line="240" w:lineRule="auto"/>
              <w:rPr>
                <w:rFonts w:hint="eastAsia" w:ascii="仿宋_GB2312" w:hAnsi="仿宋_GB2312" w:eastAsia="仿宋_GB2312" w:cs="仿宋_GB2312"/>
              </w:rPr>
            </w:pPr>
            <w:r>
              <w:rPr>
                <w:rFonts w:hint="eastAsia" w:ascii="仿宋_GB2312" w:hAnsi="仿宋_GB2312" w:eastAsia="仿宋_GB2312" w:cs="仿宋_GB2312"/>
              </w:rPr>
              <w:t>应用系统部署架构（如有）</w:t>
            </w:r>
          </w:p>
        </w:tc>
      </w:tr>
      <w:tr w14:paraId="52A9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70EAF3A7">
            <w:pPr>
              <w:spacing w:line="240" w:lineRule="auto"/>
              <w:rPr>
                <w:rFonts w:hint="eastAsia" w:ascii="仿宋_GB2312" w:hAnsi="仿宋_GB2312" w:eastAsia="仿宋_GB2312" w:cs="仿宋_GB2312"/>
              </w:rPr>
            </w:pPr>
          </w:p>
        </w:tc>
        <w:tc>
          <w:tcPr>
            <w:tcW w:w="4177" w:type="pct"/>
            <w:noWrap w:val="0"/>
            <w:vAlign w:val="top"/>
          </w:tcPr>
          <w:p w14:paraId="09F5D1D5">
            <w:pPr>
              <w:spacing w:line="240" w:lineRule="auto"/>
              <w:rPr>
                <w:rFonts w:hint="eastAsia" w:ascii="仿宋_GB2312" w:hAnsi="仿宋_GB2312" w:eastAsia="仿宋_GB2312" w:cs="仿宋_GB2312"/>
              </w:rPr>
            </w:pPr>
            <w:r>
              <w:rPr>
                <w:rFonts w:hint="eastAsia" w:ascii="仿宋_GB2312" w:hAnsi="仿宋_GB2312" w:eastAsia="仿宋_GB2312" w:cs="仿宋_GB2312"/>
              </w:rPr>
              <w:t>基础软硬件配置清单（如有）</w:t>
            </w:r>
          </w:p>
        </w:tc>
      </w:tr>
      <w:tr w14:paraId="74EA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1AB791CE">
            <w:pPr>
              <w:spacing w:line="240" w:lineRule="auto"/>
              <w:rPr>
                <w:rFonts w:hint="eastAsia" w:ascii="仿宋_GB2312" w:hAnsi="仿宋_GB2312" w:eastAsia="仿宋_GB2312" w:cs="仿宋_GB2312"/>
              </w:rPr>
            </w:pPr>
            <w:r>
              <w:rPr>
                <w:rFonts w:hint="eastAsia" w:ascii="仿宋_GB2312" w:hAnsi="仿宋_GB2312" w:eastAsia="仿宋_GB2312" w:cs="仿宋_GB2312"/>
              </w:rPr>
              <w:t>开发</w:t>
            </w:r>
          </w:p>
        </w:tc>
        <w:tc>
          <w:tcPr>
            <w:tcW w:w="4177" w:type="pct"/>
            <w:noWrap w:val="0"/>
            <w:vAlign w:val="top"/>
          </w:tcPr>
          <w:p w14:paraId="414C4079">
            <w:pPr>
              <w:spacing w:line="240" w:lineRule="auto"/>
              <w:rPr>
                <w:rFonts w:hint="eastAsia" w:ascii="仿宋_GB2312" w:hAnsi="仿宋_GB2312" w:eastAsia="仿宋_GB2312" w:cs="仿宋_GB2312"/>
              </w:rPr>
            </w:pPr>
            <w:r>
              <w:rPr>
                <w:rFonts w:hint="eastAsia" w:ascii="仿宋_GB2312" w:hAnsi="仿宋_GB2312" w:eastAsia="仿宋_GB2312" w:cs="仿宋_GB2312"/>
              </w:rPr>
              <w:t>《单元测试案例》</w:t>
            </w:r>
          </w:p>
        </w:tc>
      </w:tr>
      <w:tr w14:paraId="1DDB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63CDB847">
            <w:pPr>
              <w:spacing w:line="240" w:lineRule="auto"/>
              <w:rPr>
                <w:rFonts w:hint="eastAsia" w:ascii="仿宋_GB2312" w:hAnsi="仿宋_GB2312" w:eastAsia="仿宋_GB2312" w:cs="仿宋_GB2312"/>
              </w:rPr>
            </w:pPr>
          </w:p>
        </w:tc>
        <w:tc>
          <w:tcPr>
            <w:tcW w:w="4177" w:type="pct"/>
            <w:noWrap w:val="0"/>
            <w:vAlign w:val="top"/>
          </w:tcPr>
          <w:p w14:paraId="365EA93A">
            <w:pPr>
              <w:spacing w:line="240" w:lineRule="auto"/>
              <w:rPr>
                <w:rFonts w:hint="eastAsia" w:ascii="仿宋_GB2312" w:hAnsi="仿宋_GB2312" w:eastAsia="仿宋_GB2312" w:cs="仿宋_GB2312"/>
              </w:rPr>
            </w:pPr>
            <w:r>
              <w:rPr>
                <w:rFonts w:hint="eastAsia" w:ascii="仿宋_GB2312" w:hAnsi="仿宋_GB2312" w:eastAsia="仿宋_GB2312" w:cs="仿宋_GB2312"/>
              </w:rPr>
              <w:t>《系统内集成测试案例》</w:t>
            </w:r>
          </w:p>
        </w:tc>
      </w:tr>
      <w:tr w14:paraId="49B4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6A56F95">
            <w:pPr>
              <w:spacing w:line="240" w:lineRule="auto"/>
              <w:rPr>
                <w:rFonts w:hint="eastAsia" w:ascii="仿宋_GB2312" w:hAnsi="仿宋_GB2312" w:eastAsia="仿宋_GB2312" w:cs="仿宋_GB2312"/>
              </w:rPr>
            </w:pPr>
          </w:p>
        </w:tc>
        <w:tc>
          <w:tcPr>
            <w:tcW w:w="4177" w:type="pct"/>
            <w:noWrap w:val="0"/>
            <w:vAlign w:val="top"/>
          </w:tcPr>
          <w:p w14:paraId="530B0C83">
            <w:pPr>
              <w:spacing w:line="240" w:lineRule="auto"/>
              <w:rPr>
                <w:rFonts w:hint="eastAsia" w:ascii="仿宋_GB2312" w:hAnsi="仿宋_GB2312" w:eastAsia="仿宋_GB2312" w:cs="仿宋_GB2312"/>
              </w:rPr>
            </w:pPr>
            <w:r>
              <w:rPr>
                <w:rFonts w:hint="eastAsia" w:ascii="仿宋_GB2312" w:hAnsi="仿宋_GB2312" w:eastAsia="仿宋_GB2312" w:cs="仿宋_GB2312"/>
              </w:rPr>
              <w:t>《系统内集成测试报告》</w:t>
            </w:r>
          </w:p>
        </w:tc>
      </w:tr>
      <w:tr w14:paraId="4BC6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65D7518E">
            <w:pPr>
              <w:spacing w:line="240" w:lineRule="auto"/>
              <w:rPr>
                <w:rFonts w:hint="eastAsia" w:ascii="仿宋_GB2312" w:hAnsi="仿宋_GB2312" w:eastAsia="仿宋_GB2312" w:cs="仿宋_GB2312"/>
              </w:rPr>
            </w:pPr>
            <w:r>
              <w:rPr>
                <w:rFonts w:hint="eastAsia" w:ascii="仿宋_GB2312" w:hAnsi="仿宋_GB2312" w:eastAsia="仿宋_GB2312" w:cs="仿宋_GB2312"/>
              </w:rPr>
              <w:t>测试</w:t>
            </w:r>
          </w:p>
        </w:tc>
        <w:tc>
          <w:tcPr>
            <w:tcW w:w="4177" w:type="pct"/>
            <w:noWrap w:val="0"/>
            <w:vAlign w:val="top"/>
          </w:tcPr>
          <w:p w14:paraId="4D7642EB">
            <w:pPr>
              <w:spacing w:line="240" w:lineRule="auto"/>
              <w:rPr>
                <w:rFonts w:hint="eastAsia" w:ascii="仿宋_GB2312" w:hAnsi="仿宋_GB2312" w:eastAsia="仿宋_GB2312" w:cs="仿宋_GB2312"/>
              </w:rPr>
            </w:pPr>
            <w:r>
              <w:rPr>
                <w:rFonts w:hint="eastAsia" w:ascii="仿宋_GB2312" w:hAnsi="仿宋_GB2312" w:eastAsia="仿宋_GB2312" w:cs="仿宋_GB2312"/>
              </w:rPr>
              <w:t>《应用组装测试案例》</w:t>
            </w:r>
          </w:p>
        </w:tc>
      </w:tr>
      <w:tr w14:paraId="6CA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253DA622">
            <w:pPr>
              <w:spacing w:line="240" w:lineRule="auto"/>
              <w:rPr>
                <w:rFonts w:hint="eastAsia" w:ascii="仿宋_GB2312" w:hAnsi="仿宋_GB2312" w:eastAsia="仿宋_GB2312" w:cs="仿宋_GB2312"/>
              </w:rPr>
            </w:pPr>
          </w:p>
        </w:tc>
        <w:tc>
          <w:tcPr>
            <w:tcW w:w="4177" w:type="pct"/>
            <w:noWrap w:val="0"/>
            <w:vAlign w:val="top"/>
          </w:tcPr>
          <w:p w14:paraId="63F15B10">
            <w:pPr>
              <w:spacing w:line="240" w:lineRule="auto"/>
              <w:rPr>
                <w:rFonts w:hint="eastAsia" w:ascii="仿宋_GB2312" w:hAnsi="仿宋_GB2312" w:eastAsia="仿宋_GB2312" w:cs="仿宋_GB2312"/>
              </w:rPr>
            </w:pPr>
            <w:r>
              <w:rPr>
                <w:rFonts w:hint="eastAsia" w:ascii="仿宋_GB2312" w:hAnsi="仿宋_GB2312" w:eastAsia="仿宋_GB2312" w:cs="仿宋_GB2312"/>
              </w:rPr>
              <w:t>《应用组装测试报告》</w:t>
            </w:r>
            <w:r>
              <w:rPr>
                <w:rFonts w:hint="eastAsia" w:ascii="仿宋_GB2312" w:hAnsi="仿宋_GB2312" w:eastAsia="仿宋_GB2312" w:cs="仿宋_GB2312"/>
              </w:rPr>
              <w:tab/>
            </w:r>
          </w:p>
        </w:tc>
      </w:tr>
      <w:tr w14:paraId="3CD4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0F0D2122">
            <w:pPr>
              <w:spacing w:line="240" w:lineRule="auto"/>
              <w:rPr>
                <w:rFonts w:hint="eastAsia" w:ascii="仿宋_GB2312" w:hAnsi="仿宋_GB2312" w:eastAsia="仿宋_GB2312" w:cs="仿宋_GB2312"/>
              </w:rPr>
            </w:pPr>
          </w:p>
        </w:tc>
        <w:tc>
          <w:tcPr>
            <w:tcW w:w="4177" w:type="pct"/>
            <w:noWrap w:val="0"/>
            <w:vAlign w:val="top"/>
          </w:tcPr>
          <w:p w14:paraId="61225D64">
            <w:pPr>
              <w:spacing w:line="240" w:lineRule="auto"/>
              <w:rPr>
                <w:rFonts w:hint="eastAsia" w:ascii="仿宋_GB2312" w:hAnsi="仿宋_GB2312" w:eastAsia="仿宋_GB2312" w:cs="仿宋_GB2312"/>
              </w:rPr>
            </w:pPr>
            <w:r>
              <w:rPr>
                <w:rFonts w:hint="eastAsia" w:ascii="仿宋_GB2312" w:hAnsi="仿宋_GB2312" w:eastAsia="仿宋_GB2312" w:cs="仿宋_GB2312"/>
              </w:rPr>
              <w:t>通过用户验收测试后的源代码</w:t>
            </w:r>
          </w:p>
        </w:tc>
      </w:tr>
      <w:tr w14:paraId="287F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435A053D">
            <w:pPr>
              <w:spacing w:line="240" w:lineRule="auto"/>
              <w:rPr>
                <w:rFonts w:hint="eastAsia" w:ascii="仿宋_GB2312" w:hAnsi="仿宋_GB2312" w:eastAsia="仿宋_GB2312" w:cs="仿宋_GB2312"/>
              </w:rPr>
            </w:pPr>
            <w:r>
              <w:rPr>
                <w:rFonts w:hint="eastAsia" w:ascii="仿宋_GB2312" w:hAnsi="仿宋_GB2312" w:eastAsia="仿宋_GB2312" w:cs="仿宋_GB2312"/>
              </w:rPr>
              <w:t>业务培训</w:t>
            </w:r>
          </w:p>
        </w:tc>
        <w:tc>
          <w:tcPr>
            <w:tcW w:w="4177" w:type="pct"/>
            <w:noWrap w:val="0"/>
            <w:vAlign w:val="top"/>
          </w:tcPr>
          <w:p w14:paraId="524CE5CD">
            <w:pPr>
              <w:spacing w:line="240" w:lineRule="auto"/>
              <w:rPr>
                <w:rFonts w:hint="eastAsia" w:ascii="仿宋_GB2312" w:hAnsi="仿宋_GB2312" w:eastAsia="仿宋_GB2312" w:cs="仿宋_GB2312"/>
              </w:rPr>
            </w:pPr>
            <w:r>
              <w:rPr>
                <w:rFonts w:hint="eastAsia" w:ascii="仿宋_GB2312" w:hAnsi="仿宋_GB2312" w:eastAsia="仿宋_GB2312" w:cs="仿宋_GB2312"/>
              </w:rPr>
              <w:t>《培训讲义》（如有）</w:t>
            </w:r>
          </w:p>
        </w:tc>
      </w:tr>
      <w:tr w14:paraId="052A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20D5668A">
            <w:pPr>
              <w:spacing w:line="240" w:lineRule="auto"/>
              <w:rPr>
                <w:rFonts w:hint="eastAsia" w:ascii="仿宋_GB2312" w:hAnsi="仿宋_GB2312" w:eastAsia="仿宋_GB2312" w:cs="仿宋_GB2312"/>
              </w:rPr>
            </w:pPr>
          </w:p>
        </w:tc>
        <w:tc>
          <w:tcPr>
            <w:tcW w:w="4177" w:type="pct"/>
            <w:noWrap w:val="0"/>
            <w:vAlign w:val="top"/>
          </w:tcPr>
          <w:p w14:paraId="77980003">
            <w:pPr>
              <w:spacing w:line="240" w:lineRule="auto"/>
              <w:rPr>
                <w:rFonts w:hint="eastAsia" w:ascii="仿宋_GB2312" w:hAnsi="仿宋_GB2312" w:eastAsia="仿宋_GB2312" w:cs="仿宋_GB2312"/>
              </w:rPr>
            </w:pPr>
            <w:r>
              <w:rPr>
                <w:rFonts w:hint="eastAsia" w:ascii="仿宋_GB2312" w:hAnsi="仿宋_GB2312" w:eastAsia="仿宋_GB2312" w:cs="仿宋_GB2312"/>
              </w:rPr>
              <w:t>《用户操作手册》（如有）</w:t>
            </w:r>
          </w:p>
        </w:tc>
      </w:tr>
      <w:tr w14:paraId="42E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noWrap w:val="0"/>
            <w:vAlign w:val="center"/>
          </w:tcPr>
          <w:p w14:paraId="2279CD05">
            <w:pPr>
              <w:spacing w:line="240" w:lineRule="auto"/>
              <w:rPr>
                <w:rFonts w:hint="eastAsia" w:ascii="仿宋_GB2312" w:hAnsi="仿宋_GB2312" w:eastAsia="仿宋_GB2312" w:cs="仿宋_GB2312"/>
              </w:rPr>
            </w:pPr>
            <w:r>
              <w:rPr>
                <w:rFonts w:hint="eastAsia" w:ascii="仿宋_GB2312" w:hAnsi="仿宋_GB2312" w:eastAsia="仿宋_GB2312" w:cs="仿宋_GB2312"/>
              </w:rPr>
              <w:t>技术培训</w:t>
            </w:r>
          </w:p>
        </w:tc>
        <w:tc>
          <w:tcPr>
            <w:tcW w:w="4177" w:type="pct"/>
            <w:noWrap w:val="0"/>
            <w:vAlign w:val="top"/>
          </w:tcPr>
          <w:p w14:paraId="64D2938B">
            <w:pPr>
              <w:spacing w:line="240" w:lineRule="auto"/>
              <w:rPr>
                <w:rFonts w:hint="eastAsia" w:ascii="仿宋_GB2312" w:hAnsi="仿宋_GB2312" w:eastAsia="仿宋_GB2312" w:cs="仿宋_GB2312"/>
              </w:rPr>
            </w:pPr>
            <w:r>
              <w:rPr>
                <w:rFonts w:hint="eastAsia" w:ascii="仿宋_GB2312" w:hAnsi="仿宋_GB2312" w:eastAsia="仿宋_GB2312" w:cs="仿宋_GB2312"/>
              </w:rPr>
              <w:t>《培训讲义》（如有）</w:t>
            </w:r>
          </w:p>
        </w:tc>
      </w:tr>
      <w:tr w14:paraId="0A52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1C84C115">
            <w:pPr>
              <w:spacing w:line="240" w:lineRule="auto"/>
              <w:rPr>
                <w:rFonts w:hint="eastAsia" w:ascii="仿宋_GB2312" w:hAnsi="仿宋_GB2312" w:eastAsia="仿宋_GB2312" w:cs="仿宋_GB2312"/>
              </w:rPr>
            </w:pPr>
            <w:r>
              <w:rPr>
                <w:rFonts w:hint="eastAsia" w:ascii="仿宋_GB2312" w:hAnsi="仿宋_GB2312" w:eastAsia="仿宋_GB2312" w:cs="仿宋_GB2312"/>
              </w:rPr>
              <w:t>系统投产</w:t>
            </w:r>
          </w:p>
        </w:tc>
        <w:tc>
          <w:tcPr>
            <w:tcW w:w="4177" w:type="pct"/>
            <w:noWrap w:val="0"/>
            <w:vAlign w:val="top"/>
          </w:tcPr>
          <w:p w14:paraId="59415594">
            <w:pPr>
              <w:spacing w:line="240" w:lineRule="auto"/>
              <w:rPr>
                <w:rFonts w:hint="eastAsia" w:ascii="仿宋_GB2312" w:hAnsi="仿宋_GB2312" w:eastAsia="仿宋_GB2312" w:cs="仿宋_GB2312"/>
              </w:rPr>
            </w:pPr>
            <w:r>
              <w:rPr>
                <w:rFonts w:hint="eastAsia" w:ascii="仿宋_GB2312" w:hAnsi="仿宋_GB2312" w:eastAsia="仿宋_GB2312" w:cs="仿宋_GB2312"/>
              </w:rPr>
              <w:t>《投产任务跟踪表》（按版本）</w:t>
            </w:r>
          </w:p>
        </w:tc>
      </w:tr>
      <w:tr w14:paraId="272D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9B94AA0">
            <w:pPr>
              <w:spacing w:line="240" w:lineRule="auto"/>
              <w:rPr>
                <w:rFonts w:hint="eastAsia" w:ascii="仿宋_GB2312" w:hAnsi="仿宋_GB2312" w:eastAsia="仿宋_GB2312" w:cs="仿宋_GB2312"/>
              </w:rPr>
            </w:pPr>
          </w:p>
        </w:tc>
        <w:tc>
          <w:tcPr>
            <w:tcW w:w="4177" w:type="pct"/>
            <w:noWrap w:val="0"/>
            <w:vAlign w:val="top"/>
          </w:tcPr>
          <w:p w14:paraId="4E482831">
            <w:pPr>
              <w:spacing w:line="240" w:lineRule="auto"/>
              <w:rPr>
                <w:rFonts w:hint="eastAsia" w:ascii="仿宋_GB2312" w:hAnsi="仿宋_GB2312" w:eastAsia="仿宋_GB2312" w:cs="仿宋_GB2312"/>
              </w:rPr>
            </w:pPr>
            <w:r>
              <w:rPr>
                <w:rFonts w:hint="eastAsia" w:ascii="仿宋_GB2312" w:hAnsi="仿宋_GB2312" w:eastAsia="仿宋_GB2312" w:cs="仿宋_GB2312"/>
              </w:rPr>
              <w:t>《操作控制表》</w:t>
            </w:r>
          </w:p>
        </w:tc>
      </w:tr>
      <w:tr w14:paraId="4D23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64A4C3E">
            <w:pPr>
              <w:spacing w:line="240" w:lineRule="auto"/>
              <w:rPr>
                <w:rFonts w:hint="eastAsia" w:ascii="仿宋_GB2312" w:hAnsi="仿宋_GB2312" w:eastAsia="仿宋_GB2312" w:cs="仿宋_GB2312"/>
              </w:rPr>
            </w:pPr>
          </w:p>
        </w:tc>
        <w:tc>
          <w:tcPr>
            <w:tcW w:w="4177" w:type="pct"/>
            <w:noWrap w:val="0"/>
            <w:vAlign w:val="top"/>
          </w:tcPr>
          <w:p w14:paraId="093B9AB1">
            <w:pPr>
              <w:spacing w:line="240" w:lineRule="auto"/>
              <w:rPr>
                <w:rFonts w:hint="eastAsia" w:ascii="仿宋_GB2312" w:hAnsi="仿宋_GB2312" w:eastAsia="仿宋_GB2312" w:cs="仿宋_GB2312"/>
              </w:rPr>
            </w:pPr>
            <w:r>
              <w:rPr>
                <w:rFonts w:hint="eastAsia" w:ascii="仿宋_GB2312" w:hAnsi="仿宋_GB2312" w:eastAsia="仿宋_GB2312" w:cs="仿宋_GB2312"/>
              </w:rPr>
              <w:t>待投产的应用程序版本</w:t>
            </w:r>
          </w:p>
        </w:tc>
      </w:tr>
      <w:tr w14:paraId="410D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4ABB5B4">
            <w:pPr>
              <w:spacing w:line="240" w:lineRule="auto"/>
              <w:rPr>
                <w:rFonts w:hint="eastAsia" w:ascii="仿宋_GB2312" w:hAnsi="仿宋_GB2312" w:eastAsia="仿宋_GB2312" w:cs="仿宋_GB2312"/>
              </w:rPr>
            </w:pPr>
          </w:p>
        </w:tc>
        <w:tc>
          <w:tcPr>
            <w:tcW w:w="4177" w:type="pct"/>
            <w:noWrap w:val="0"/>
            <w:vAlign w:val="top"/>
          </w:tcPr>
          <w:p w14:paraId="104E541E">
            <w:pPr>
              <w:spacing w:line="240" w:lineRule="auto"/>
              <w:rPr>
                <w:rFonts w:hint="eastAsia" w:ascii="仿宋_GB2312" w:hAnsi="仿宋_GB2312" w:eastAsia="仿宋_GB2312" w:cs="仿宋_GB2312"/>
              </w:rPr>
            </w:pPr>
            <w:r>
              <w:rPr>
                <w:rFonts w:hint="eastAsia" w:ascii="仿宋_GB2312" w:hAnsi="仿宋_GB2312" w:eastAsia="仿宋_GB2312" w:cs="仿宋_GB2312"/>
              </w:rPr>
              <w:t>《应急预案》（如有）</w:t>
            </w:r>
          </w:p>
        </w:tc>
      </w:tr>
      <w:tr w14:paraId="657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779F0B79">
            <w:pPr>
              <w:spacing w:line="240" w:lineRule="auto"/>
              <w:rPr>
                <w:rFonts w:hint="eastAsia" w:ascii="仿宋_GB2312" w:hAnsi="仿宋_GB2312" w:eastAsia="仿宋_GB2312" w:cs="仿宋_GB2312"/>
              </w:rPr>
            </w:pPr>
          </w:p>
        </w:tc>
        <w:tc>
          <w:tcPr>
            <w:tcW w:w="4177" w:type="pct"/>
            <w:noWrap w:val="0"/>
            <w:vAlign w:val="top"/>
          </w:tcPr>
          <w:p w14:paraId="1380CAD8">
            <w:pPr>
              <w:spacing w:line="240" w:lineRule="auto"/>
              <w:rPr>
                <w:rFonts w:hint="eastAsia" w:ascii="仿宋_GB2312" w:hAnsi="仿宋_GB2312" w:eastAsia="仿宋_GB2312" w:cs="仿宋_GB2312"/>
              </w:rPr>
            </w:pPr>
            <w:r>
              <w:rPr>
                <w:rFonts w:hint="eastAsia" w:ascii="仿宋_GB2312" w:hAnsi="仿宋_GB2312" w:eastAsia="仿宋_GB2312" w:cs="仿宋_GB2312"/>
              </w:rPr>
              <w:t>《投产报告》（按版本）</w:t>
            </w:r>
          </w:p>
        </w:tc>
      </w:tr>
      <w:tr w14:paraId="46E6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1DC99466">
            <w:pPr>
              <w:spacing w:line="240" w:lineRule="auto"/>
              <w:rPr>
                <w:rFonts w:hint="eastAsia" w:ascii="仿宋_GB2312" w:hAnsi="仿宋_GB2312" w:eastAsia="仿宋_GB2312" w:cs="仿宋_GB2312"/>
              </w:rPr>
            </w:pPr>
          </w:p>
        </w:tc>
        <w:tc>
          <w:tcPr>
            <w:tcW w:w="4177" w:type="pct"/>
            <w:noWrap w:val="0"/>
            <w:vAlign w:val="top"/>
          </w:tcPr>
          <w:p w14:paraId="7B425330">
            <w:pPr>
              <w:spacing w:line="240" w:lineRule="auto"/>
              <w:rPr>
                <w:rFonts w:hint="eastAsia" w:ascii="仿宋_GB2312" w:hAnsi="仿宋_GB2312" w:eastAsia="仿宋_GB2312" w:cs="仿宋_GB2312"/>
              </w:rPr>
            </w:pPr>
            <w:r>
              <w:rPr>
                <w:rFonts w:hint="eastAsia" w:ascii="仿宋_GB2312" w:hAnsi="仿宋_GB2312" w:eastAsia="仿宋_GB2312" w:cs="仿宋_GB2312"/>
              </w:rPr>
              <w:t>《运维手册》、《日志报错代码表》、《批量手册》、《监控手册》、《知识库》（如有）</w:t>
            </w:r>
          </w:p>
        </w:tc>
      </w:tr>
      <w:tr w14:paraId="09EA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3B247ABD">
            <w:pPr>
              <w:spacing w:line="240" w:lineRule="auto"/>
              <w:rPr>
                <w:rFonts w:hint="eastAsia" w:ascii="仿宋_GB2312" w:hAnsi="仿宋_GB2312" w:eastAsia="仿宋_GB2312" w:cs="仿宋_GB2312"/>
              </w:rPr>
            </w:pPr>
            <w:r>
              <w:rPr>
                <w:rFonts w:hint="eastAsia" w:ascii="仿宋_GB2312" w:hAnsi="仿宋_GB2312" w:eastAsia="仿宋_GB2312" w:cs="仿宋_GB2312"/>
              </w:rPr>
              <w:t>系统应用维护</w:t>
            </w:r>
          </w:p>
        </w:tc>
        <w:tc>
          <w:tcPr>
            <w:tcW w:w="4177" w:type="pct"/>
            <w:noWrap w:val="0"/>
            <w:vAlign w:val="top"/>
          </w:tcPr>
          <w:p w14:paraId="5F1F4C78">
            <w:pPr>
              <w:spacing w:line="240" w:lineRule="auto"/>
              <w:rPr>
                <w:rFonts w:hint="eastAsia" w:ascii="仿宋_GB2312" w:hAnsi="仿宋_GB2312" w:eastAsia="仿宋_GB2312" w:cs="仿宋_GB2312"/>
              </w:rPr>
            </w:pPr>
            <w:r>
              <w:rPr>
                <w:rFonts w:hint="eastAsia" w:ascii="仿宋_GB2312" w:hAnsi="仿宋_GB2312" w:eastAsia="仿宋_GB2312" w:cs="仿宋_GB2312"/>
              </w:rPr>
              <w:t>知识转移文档：《运维手册》（含《日志存储备份清理方案》等日常运维的必要件）、《日志报错代码表》、《批量手册》、《监控手册》（如有）</w:t>
            </w:r>
          </w:p>
        </w:tc>
      </w:tr>
      <w:tr w14:paraId="6434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04C44BFE">
            <w:pPr>
              <w:spacing w:line="240" w:lineRule="auto"/>
              <w:rPr>
                <w:rFonts w:hint="eastAsia" w:ascii="仿宋_GB2312" w:hAnsi="仿宋_GB2312" w:eastAsia="仿宋_GB2312" w:cs="仿宋_GB2312"/>
              </w:rPr>
            </w:pPr>
          </w:p>
        </w:tc>
        <w:tc>
          <w:tcPr>
            <w:tcW w:w="4177" w:type="pct"/>
            <w:noWrap w:val="0"/>
            <w:vAlign w:val="top"/>
          </w:tcPr>
          <w:p w14:paraId="248E4B2F">
            <w:pPr>
              <w:spacing w:line="240" w:lineRule="auto"/>
              <w:rPr>
                <w:rFonts w:hint="eastAsia" w:ascii="仿宋_GB2312" w:hAnsi="仿宋_GB2312" w:eastAsia="仿宋_GB2312" w:cs="仿宋_GB2312"/>
              </w:rPr>
            </w:pPr>
            <w:r>
              <w:rPr>
                <w:rFonts w:hint="eastAsia" w:ascii="仿宋_GB2312" w:hAnsi="仿宋_GB2312" w:eastAsia="仿宋_GB2312" w:cs="仿宋_GB2312"/>
              </w:rPr>
              <w:t>知识库（包含《上线运行问题报告和问题跟踪表》、《重大问题分析报告》（如有））</w:t>
            </w:r>
          </w:p>
        </w:tc>
      </w:tr>
      <w:tr w14:paraId="604E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6F04B241">
            <w:pPr>
              <w:spacing w:line="240" w:lineRule="auto"/>
              <w:rPr>
                <w:rFonts w:hint="eastAsia" w:ascii="仿宋_GB2312" w:hAnsi="仿宋_GB2312" w:eastAsia="仿宋_GB2312" w:cs="仿宋_GB2312"/>
              </w:rPr>
            </w:pPr>
          </w:p>
        </w:tc>
        <w:tc>
          <w:tcPr>
            <w:tcW w:w="4177" w:type="pct"/>
            <w:noWrap w:val="0"/>
            <w:vAlign w:val="top"/>
          </w:tcPr>
          <w:p w14:paraId="20B4AD03">
            <w:pPr>
              <w:spacing w:line="240" w:lineRule="auto"/>
              <w:rPr>
                <w:rFonts w:hint="eastAsia" w:ascii="仿宋_GB2312" w:hAnsi="仿宋_GB2312" w:eastAsia="仿宋_GB2312" w:cs="仿宋_GB2312"/>
              </w:rPr>
            </w:pPr>
            <w:r>
              <w:rPr>
                <w:rFonts w:hint="eastAsia" w:ascii="仿宋_GB2312" w:hAnsi="仿宋_GB2312" w:eastAsia="仿宋_GB2312" w:cs="仿宋_GB2312"/>
              </w:rPr>
              <w:t>《维护期总结报告》</w:t>
            </w:r>
          </w:p>
        </w:tc>
      </w:tr>
      <w:tr w14:paraId="7943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5C2FBFD">
            <w:pPr>
              <w:spacing w:line="240" w:lineRule="auto"/>
              <w:rPr>
                <w:rFonts w:hint="eastAsia" w:ascii="仿宋_GB2312" w:hAnsi="仿宋_GB2312" w:eastAsia="仿宋_GB2312" w:cs="仿宋_GB2312"/>
              </w:rPr>
            </w:pPr>
          </w:p>
        </w:tc>
        <w:tc>
          <w:tcPr>
            <w:tcW w:w="4177" w:type="pct"/>
            <w:noWrap w:val="0"/>
            <w:vAlign w:val="top"/>
          </w:tcPr>
          <w:p w14:paraId="7F8CE8FA">
            <w:pPr>
              <w:spacing w:line="240" w:lineRule="auto"/>
              <w:rPr>
                <w:rFonts w:hint="eastAsia" w:ascii="仿宋_GB2312" w:hAnsi="仿宋_GB2312" w:eastAsia="仿宋_GB2312" w:cs="仿宋_GB2312"/>
              </w:rPr>
            </w:pPr>
            <w:r>
              <w:rPr>
                <w:rFonts w:hint="eastAsia" w:ascii="仿宋_GB2312" w:hAnsi="仿宋_GB2312" w:eastAsia="仿宋_GB2312" w:cs="仿宋_GB2312"/>
              </w:rPr>
              <w:t>《月度运行维护报告》</w:t>
            </w:r>
          </w:p>
        </w:tc>
      </w:tr>
    </w:tbl>
    <w:p w14:paraId="558ACA09">
      <w:pPr>
        <w:pStyle w:val="15"/>
        <w:keepNext/>
        <w:keepLines/>
        <w:pageBreakBefore w:val="0"/>
        <w:widowControl w:val="0"/>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hint="eastAsia" w:ascii="Times New Roman" w:hAnsi="黑体" w:eastAsia="黑体" w:cs="Times New Roman"/>
          <w:b w:val="0"/>
          <w:bCs w:val="0"/>
          <w:color w:val="auto"/>
          <w:sz w:val="32"/>
          <w:lang w:val="en-US" w:eastAsia="zh-CN"/>
        </w:rPr>
      </w:pPr>
      <w:bookmarkStart w:id="10" w:name="_Toc28670"/>
      <w:r>
        <w:rPr>
          <w:rFonts w:hint="eastAsia" w:ascii="Times New Roman" w:hAnsi="黑体" w:eastAsia="黑体" w:cs="Times New Roman"/>
          <w:b w:val="0"/>
          <w:bCs w:val="0"/>
          <w:color w:val="auto"/>
          <w:sz w:val="32"/>
          <w:lang w:val="en-US" w:eastAsia="zh-CN"/>
        </w:rPr>
        <w:fldChar w:fldCharType="begin"/>
      </w:r>
      <w:r>
        <w:rPr>
          <w:rFonts w:hint="eastAsia" w:ascii="Times New Roman" w:hAnsi="黑体" w:eastAsia="黑体" w:cs="Times New Roman"/>
          <w:b w:val="0"/>
          <w:bCs w:val="0"/>
          <w:color w:val="auto"/>
          <w:sz w:val="32"/>
          <w:lang w:val="en-US" w:eastAsia="zh-CN"/>
        </w:rPr>
        <w:instrText xml:space="preserve"> HYPERLINK \l _Toc29694 </w:instrText>
      </w:r>
      <w:r>
        <w:rPr>
          <w:rFonts w:hint="eastAsia" w:ascii="Times New Roman" w:hAnsi="黑体" w:eastAsia="黑体" w:cs="Times New Roman"/>
          <w:b w:val="0"/>
          <w:bCs w:val="0"/>
          <w:color w:val="auto"/>
          <w:sz w:val="32"/>
          <w:lang w:val="en-US" w:eastAsia="zh-CN"/>
        </w:rPr>
        <w:fldChar w:fldCharType="separate"/>
      </w:r>
      <w:r>
        <w:rPr>
          <w:rFonts w:hint="eastAsia" w:ascii="Times New Roman" w:hAnsi="黑体" w:eastAsia="黑体" w:cs="Times New Roman"/>
          <w:b w:val="0"/>
          <w:bCs w:val="0"/>
          <w:color w:val="auto"/>
          <w:sz w:val="32"/>
          <w:lang w:val="en-US" w:eastAsia="zh-CN"/>
        </w:rPr>
        <w:t>六、项目团队要求</w:t>
      </w:r>
      <w:r>
        <w:rPr>
          <w:rFonts w:hint="eastAsia" w:ascii="Times New Roman" w:hAnsi="黑体" w:eastAsia="黑体" w:cs="Times New Roman"/>
          <w:b w:val="0"/>
          <w:bCs w:val="0"/>
          <w:color w:val="auto"/>
          <w:sz w:val="32"/>
          <w:lang w:val="en-US" w:eastAsia="zh-CN"/>
        </w:rPr>
        <w:fldChar w:fldCharType="end"/>
      </w:r>
      <w:bookmarkEnd w:id="10"/>
    </w:p>
    <w:p w14:paraId="2FFA53C3">
      <w:pPr>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熟悉我行联合开发系统实施现状，具有项目系统相关实施经验；具备完成服务范围内各项工作的能力；团队中关键核心岗位人员，如项目经理、关键技术人员等不得外包。</w:t>
      </w:r>
    </w:p>
    <w:p w14:paraId="3B0348B3">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同意</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根据项目计划对项目组人员分批面试并引入。对于面试不合格的人员，</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承诺在10个自然日内提供补充人员直至符合标准。</w:t>
      </w:r>
    </w:p>
    <w:p w14:paraId="164BE99F">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承诺可按照实际项目要求提供充足的高、中、初级测试人员，至少能提供2倍（含）以上候选人供</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进行选择。</w:t>
      </w:r>
    </w:p>
    <w:p w14:paraId="11F7F35D">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承诺面试候选人应为投标文件中人员列表上的人员或优于人员列表的人员。</w:t>
      </w:r>
    </w:p>
    <w:p w14:paraId="14DDC603">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承诺已进入项目组的任何人员不得随意更换。如确实需要更换人员须经过甲方审核通过后方可换人。同时要求新换人员必须通过甲方的审核，且由</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保证人员更换期间工作的连续性。</w:t>
      </w:r>
    </w:p>
    <w:p w14:paraId="6695F181">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承诺已进入项目组的</w:t>
      </w:r>
      <w:r>
        <w:rPr>
          <w:rFonts w:hint="eastAsia" w:ascii="仿宋_GB2312" w:hAnsi="仿宋_GB2312" w:eastAsia="仿宋_GB2312" w:cs="仿宋_GB2312"/>
          <w:sz w:val="32"/>
          <w:szCs w:val="32"/>
          <w:highlight w:val="none"/>
          <w:lang w:val="en-US" w:eastAsia="zh-CN"/>
        </w:rPr>
        <w:t>驻场服务</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lang w:eastAsia="zh-CN"/>
        </w:rPr>
        <w:t>，</w:t>
      </w:r>
      <w:r>
        <w:rPr>
          <w:rFonts w:hint="eastAsia" w:ascii="仿宋" w:hAnsi="仿宋" w:eastAsia="仿宋" w:cs="仿宋"/>
          <w:sz w:val="32"/>
          <w:szCs w:val="32"/>
          <w:highlight w:val="none"/>
          <w:lang w:val="en-US" w:eastAsia="zh-CN"/>
        </w:rPr>
        <w:t>要提供人员简历、学历证明复印件及人员相关认证资质复印件，</w:t>
      </w:r>
      <w:r>
        <w:rPr>
          <w:rFonts w:hint="eastAsia" w:ascii="仿宋" w:hAnsi="仿宋" w:eastAsia="仿宋" w:cs="仿宋"/>
          <w:sz w:val="32"/>
          <w:szCs w:val="32"/>
          <w:highlight w:val="none"/>
        </w:rPr>
        <w:t>签署安全保密承诺书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w:t>
      </w:r>
      <w:r>
        <w:rPr>
          <w:rFonts w:hint="eastAsia" w:ascii="仿宋_GB2312" w:hAnsi="仿宋_GB2312" w:eastAsia="仿宋_GB2312" w:cs="仿宋_GB2312"/>
          <w:sz w:val="32"/>
          <w:szCs w:val="32"/>
          <w:highlight w:val="none"/>
          <w:lang w:val="en-US" w:eastAsia="zh-CN"/>
        </w:rPr>
        <w:t>满足甲方</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val="en-US" w:eastAsia="zh-CN"/>
        </w:rPr>
        <w:t>要求：</w:t>
      </w:r>
    </w:p>
    <w:p w14:paraId="7BB20ABD">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（1）所有驻场服务人员必须遵守</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作息制度和相关工作制度规定，提供5*8小时驻场服务。</w:t>
      </w:r>
    </w:p>
    <w:p w14:paraId="55B45CDE">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（2）驻场服务期间，所有驻场服务人员必须严格按照</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各项规章制度合规开展工作；驻场服务地点为</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指定地点。</w:t>
      </w:r>
    </w:p>
    <w:p w14:paraId="5F2FCD36">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（3）任何驻场</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人员不得随意更换。如果更换人员则</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应提前</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个月通知</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，并经过</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审核通过后方可换人。同时要求新换人员必须通过</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的审核，且由</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保证人员更换期间支持工作的连续性；</w:t>
      </w:r>
    </w:p>
    <w:p w14:paraId="36B36A72">
      <w:pPr>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（4）如果支持人员因违反</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工作纪律或相关运行制度，并给</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造成了损失，则</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有责任进行赔偿，具体赔偿标准见合同。</w:t>
      </w:r>
    </w:p>
    <w:p w14:paraId="00F254FB">
      <w:pPr>
        <w:pageBreakBefore w:val="0"/>
        <w:kinsoku/>
        <w:overflowPunct/>
        <w:topLinePunct w:val="0"/>
        <w:autoSpaceDE/>
        <w:autoSpaceDN/>
        <w:bidi w:val="0"/>
        <w:snapToGrid/>
        <w:spacing w:line="560" w:lineRule="exact"/>
        <w:ind w:firstLine="640" w:firstLineChars="200"/>
        <w:rPr>
          <w:rFonts w:ascii="Times New Roman" w:hAnsi="黑体" w:eastAsia="黑体"/>
          <w:b w:val="0"/>
          <w:bCs w:val="0"/>
          <w:sz w:val="32"/>
          <w:highlight w:val="none"/>
        </w:rPr>
      </w:pPr>
      <w:r>
        <w:rPr>
          <w:rFonts w:hint="eastAsia" w:ascii="仿宋_GB2312" w:hAnsi="仿宋_GB2312" w:eastAsia="仿宋_GB2312" w:cs="仿宋_GB2312"/>
          <w:sz w:val="32"/>
          <w:szCs w:val="32"/>
          <w:highlight w:val="none"/>
        </w:rPr>
        <w:t>（5）根据支持效果，对于不能够胜任支持工作的人员，</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有权利要求</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重新进行调换。同时</w:t>
      </w:r>
      <w:r>
        <w:rPr>
          <w:rFonts w:hint="eastAsia" w:ascii="仿宋_GB2312" w:hAnsi="仿宋_GB2312" w:eastAsia="仿宋_GB2312" w:cs="仿宋_GB2312"/>
          <w:sz w:val="32"/>
          <w:szCs w:val="32"/>
          <w:highlight w:val="none"/>
          <w:lang w:val="en-US" w:eastAsia="zh-CN"/>
        </w:rPr>
        <w:t>由供应商</w:t>
      </w:r>
      <w:r>
        <w:rPr>
          <w:rFonts w:hint="eastAsia" w:ascii="仿宋_GB2312" w:hAnsi="仿宋_GB2312" w:eastAsia="仿宋_GB2312" w:cs="仿宋_GB2312"/>
          <w:sz w:val="32"/>
          <w:szCs w:val="32"/>
          <w:highlight w:val="none"/>
        </w:rPr>
        <w:t>保证人员更换期间支持工作的连续性。</w:t>
      </w:r>
    </w:p>
    <w:p w14:paraId="7B4543CA">
      <w:pPr>
        <w:pStyle w:val="15"/>
        <w:keepNext/>
        <w:keepLines/>
        <w:pageBreakBefore w:val="0"/>
        <w:widowControl w:val="0"/>
        <w:kinsoku/>
        <w:wordWrap/>
        <w:overflowPunct/>
        <w:topLinePunct w:val="0"/>
        <w:autoSpaceDE/>
        <w:autoSpaceDN/>
        <w:bidi w:val="0"/>
        <w:adjustRightInd w:val="0"/>
        <w:snapToGrid/>
        <w:spacing w:before="0" w:beforeLines="0" w:after="0" w:afterLines="0" w:line="560" w:lineRule="exact"/>
        <w:ind w:firstLine="640" w:firstLineChars="200"/>
        <w:jc w:val="left"/>
        <w:textAlignment w:val="baseline"/>
        <w:outlineLvl w:val="0"/>
        <w:rPr>
          <w:rFonts w:hint="eastAsia" w:ascii="Times New Roman" w:hAnsi="黑体" w:eastAsia="黑体" w:cs="Times New Roman"/>
          <w:b w:val="0"/>
          <w:bCs w:val="0"/>
          <w:color w:val="auto"/>
          <w:sz w:val="32"/>
          <w:lang w:val="en-US" w:eastAsia="zh-CN"/>
        </w:rPr>
      </w:pPr>
      <w:bookmarkStart w:id="11" w:name="_Toc19415"/>
      <w:bookmarkStart w:id="12" w:name="_Toc1526"/>
      <w:r>
        <w:rPr>
          <w:rFonts w:hint="eastAsia" w:ascii="Times New Roman" w:hAnsi="黑体" w:eastAsia="黑体" w:cs="Times New Roman"/>
          <w:b w:val="0"/>
          <w:bCs w:val="0"/>
          <w:color w:val="auto"/>
          <w:sz w:val="32"/>
          <w:lang w:val="en-US" w:eastAsia="zh-CN"/>
        </w:rPr>
        <w:t>七、安全要求</w:t>
      </w:r>
      <w:bookmarkEnd w:id="11"/>
      <w:bookmarkEnd w:id="12"/>
    </w:p>
    <w:p w14:paraId="316A59EC">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eastAsia="仿宋_GB2312"/>
          <w:color w:val="auto"/>
          <w:sz w:val="32"/>
          <w:szCs w:val="22"/>
        </w:rPr>
      </w:pPr>
      <w:r>
        <w:rPr>
          <w:rFonts w:hint="eastAsia" w:eastAsia="仿宋_GB2312"/>
          <w:color w:val="auto"/>
          <w:sz w:val="32"/>
          <w:szCs w:val="22"/>
        </w:rPr>
        <w:t>在未征得</w:t>
      </w:r>
      <w:r>
        <w:rPr>
          <w:rFonts w:hint="eastAsia" w:eastAsia="仿宋_GB2312"/>
          <w:color w:val="auto"/>
          <w:sz w:val="32"/>
          <w:szCs w:val="22"/>
          <w:lang w:val="en-US" w:eastAsia="zh-CN"/>
        </w:rPr>
        <w:t>我行</w:t>
      </w:r>
      <w:r>
        <w:rPr>
          <w:rFonts w:hint="eastAsia" w:eastAsia="仿宋_GB2312"/>
          <w:color w:val="auto"/>
          <w:sz w:val="32"/>
          <w:szCs w:val="22"/>
        </w:rPr>
        <w:t>同意的情况下，</w:t>
      </w:r>
      <w:r>
        <w:rPr>
          <w:rFonts w:hint="eastAsia" w:eastAsia="仿宋_GB2312"/>
          <w:color w:val="auto"/>
          <w:sz w:val="32"/>
          <w:szCs w:val="22"/>
          <w:lang w:val="en-US" w:eastAsia="zh-CN"/>
        </w:rPr>
        <w:t>供应商</w:t>
      </w:r>
      <w:r>
        <w:rPr>
          <w:rFonts w:hint="eastAsia" w:eastAsia="仿宋_GB2312"/>
          <w:color w:val="auto"/>
          <w:sz w:val="32"/>
          <w:szCs w:val="22"/>
        </w:rPr>
        <w:t>供应商必须保证所提供的人员能够严格遵守各项规章制度，主要包括但不限于以下内容：</w:t>
      </w:r>
    </w:p>
    <w:p w14:paraId="022B84DB">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eastAsia="仿宋_GB2312"/>
          <w:color w:val="auto"/>
          <w:sz w:val="32"/>
          <w:szCs w:val="22"/>
        </w:rPr>
      </w:pPr>
      <w:r>
        <w:rPr>
          <w:rFonts w:hint="eastAsia" w:eastAsia="仿宋_GB2312"/>
          <w:color w:val="auto"/>
          <w:sz w:val="32"/>
          <w:szCs w:val="22"/>
          <w:lang w:eastAsia="zh-CN"/>
        </w:rPr>
        <w:t>（</w:t>
      </w:r>
      <w:r>
        <w:rPr>
          <w:rFonts w:hint="eastAsia" w:eastAsia="仿宋_GB2312"/>
          <w:color w:val="auto"/>
          <w:sz w:val="32"/>
          <w:szCs w:val="22"/>
          <w:lang w:val="en-US" w:eastAsia="zh-CN"/>
        </w:rPr>
        <w:t>一</w:t>
      </w:r>
      <w:r>
        <w:rPr>
          <w:rFonts w:hint="eastAsia" w:eastAsia="仿宋_GB2312"/>
          <w:color w:val="auto"/>
          <w:sz w:val="32"/>
          <w:szCs w:val="22"/>
          <w:lang w:eastAsia="zh-CN"/>
        </w:rPr>
        <w:t>）</w:t>
      </w:r>
      <w:r>
        <w:rPr>
          <w:rFonts w:hint="eastAsia" w:eastAsia="仿宋_GB2312"/>
          <w:color w:val="auto"/>
          <w:sz w:val="32"/>
          <w:szCs w:val="22"/>
        </w:rPr>
        <w:t>法律合规方面，应有效规避实施过程中给</w:t>
      </w:r>
      <w:r>
        <w:rPr>
          <w:rFonts w:hint="eastAsia" w:eastAsia="仿宋_GB2312"/>
          <w:color w:val="auto"/>
          <w:sz w:val="32"/>
          <w:szCs w:val="22"/>
          <w:lang w:val="en-US" w:eastAsia="zh-CN"/>
        </w:rPr>
        <w:t>我</w:t>
      </w:r>
      <w:r>
        <w:rPr>
          <w:rFonts w:hint="eastAsia" w:eastAsia="仿宋_GB2312"/>
          <w:color w:val="auto"/>
          <w:sz w:val="32"/>
          <w:szCs w:val="22"/>
        </w:rPr>
        <w:t>行带来的法律风险。</w:t>
      </w:r>
    </w:p>
    <w:p w14:paraId="18AD8129">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eastAsia="仿宋_GB2312"/>
          <w:color w:val="auto"/>
          <w:sz w:val="32"/>
          <w:szCs w:val="22"/>
        </w:rPr>
      </w:pPr>
      <w:r>
        <w:rPr>
          <w:rFonts w:hint="eastAsia" w:eastAsia="仿宋_GB2312"/>
          <w:color w:val="auto"/>
          <w:sz w:val="32"/>
          <w:szCs w:val="22"/>
          <w:lang w:eastAsia="zh-CN"/>
        </w:rPr>
        <w:t>（</w:t>
      </w:r>
      <w:r>
        <w:rPr>
          <w:rFonts w:hint="eastAsia" w:eastAsia="仿宋_GB2312"/>
          <w:color w:val="auto"/>
          <w:sz w:val="32"/>
          <w:szCs w:val="22"/>
          <w:lang w:val="en-US" w:eastAsia="zh-CN"/>
        </w:rPr>
        <w:t>二</w:t>
      </w:r>
      <w:r>
        <w:rPr>
          <w:rFonts w:hint="eastAsia" w:eastAsia="仿宋_GB2312"/>
          <w:color w:val="auto"/>
          <w:sz w:val="32"/>
          <w:szCs w:val="22"/>
          <w:lang w:eastAsia="zh-CN"/>
        </w:rPr>
        <w:t>）</w:t>
      </w:r>
      <w:r>
        <w:rPr>
          <w:rFonts w:hint="eastAsia" w:eastAsia="仿宋_GB2312"/>
          <w:color w:val="auto"/>
          <w:sz w:val="32"/>
          <w:szCs w:val="22"/>
        </w:rPr>
        <w:t>信息</w:t>
      </w:r>
      <w:r>
        <w:rPr>
          <w:rFonts w:hint="eastAsia" w:eastAsia="仿宋_GB2312"/>
          <w:color w:val="auto"/>
          <w:sz w:val="32"/>
          <w:szCs w:val="22"/>
          <w:lang w:val="en-US" w:eastAsia="zh-CN"/>
        </w:rPr>
        <w:t>安全</w:t>
      </w:r>
      <w:r>
        <w:rPr>
          <w:rFonts w:hint="eastAsia" w:eastAsia="仿宋_GB2312"/>
          <w:color w:val="auto"/>
          <w:sz w:val="32"/>
          <w:szCs w:val="22"/>
        </w:rPr>
        <w:t>方面，应有效规避因服务人员导致的银行信息（如业务数据和商务信息等）泄漏风险。</w:t>
      </w:r>
    </w:p>
    <w:p w14:paraId="6DE1D25F">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eastAsia="仿宋_GB2312"/>
          <w:color w:val="auto"/>
          <w:sz w:val="32"/>
          <w:szCs w:val="22"/>
        </w:rPr>
      </w:pPr>
      <w:r>
        <w:rPr>
          <w:rFonts w:hint="eastAsia" w:eastAsia="仿宋_GB2312"/>
          <w:color w:val="auto"/>
          <w:sz w:val="32"/>
          <w:szCs w:val="22"/>
          <w:lang w:eastAsia="zh-CN"/>
        </w:rPr>
        <w:t>（</w:t>
      </w:r>
      <w:r>
        <w:rPr>
          <w:rFonts w:hint="eastAsia" w:eastAsia="仿宋_GB2312"/>
          <w:color w:val="auto"/>
          <w:sz w:val="32"/>
          <w:szCs w:val="22"/>
          <w:lang w:val="en-US" w:eastAsia="zh-CN"/>
        </w:rPr>
        <w:t>三</w:t>
      </w:r>
      <w:r>
        <w:rPr>
          <w:rFonts w:hint="eastAsia" w:eastAsia="仿宋_GB2312"/>
          <w:color w:val="auto"/>
          <w:sz w:val="32"/>
          <w:szCs w:val="22"/>
          <w:lang w:eastAsia="zh-CN"/>
        </w:rPr>
        <w:t>）</w:t>
      </w:r>
      <w:r>
        <w:rPr>
          <w:rFonts w:hint="eastAsia" w:eastAsia="仿宋_GB2312"/>
          <w:color w:val="auto"/>
          <w:sz w:val="32"/>
          <w:szCs w:val="22"/>
        </w:rPr>
        <w:t>生产安全方面，应严格规避因人员操作不当，导致的银行系统出现安全性和稳定性风险事件。</w:t>
      </w:r>
    </w:p>
    <w:p w14:paraId="3D77C99B">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eastAsia="仿宋_GB2312"/>
          <w:color w:val="auto"/>
          <w:sz w:val="32"/>
          <w:szCs w:val="22"/>
        </w:rPr>
      </w:pPr>
      <w:r>
        <w:rPr>
          <w:rFonts w:hint="eastAsia" w:eastAsia="仿宋_GB2312"/>
          <w:color w:val="auto"/>
          <w:sz w:val="32"/>
          <w:szCs w:val="22"/>
          <w:lang w:eastAsia="zh-CN"/>
        </w:rPr>
        <w:t>（</w:t>
      </w:r>
      <w:r>
        <w:rPr>
          <w:rFonts w:hint="eastAsia" w:eastAsia="仿宋_GB2312"/>
          <w:color w:val="auto"/>
          <w:sz w:val="32"/>
          <w:szCs w:val="22"/>
          <w:lang w:val="en-US" w:eastAsia="zh-CN"/>
        </w:rPr>
        <w:t>四</w:t>
      </w:r>
      <w:r>
        <w:rPr>
          <w:rFonts w:hint="eastAsia" w:eastAsia="仿宋_GB2312"/>
          <w:color w:val="auto"/>
          <w:sz w:val="32"/>
          <w:szCs w:val="22"/>
          <w:lang w:eastAsia="zh-CN"/>
        </w:rPr>
        <w:t>）</w:t>
      </w:r>
      <w:r>
        <w:rPr>
          <w:rFonts w:hint="eastAsia" w:eastAsia="仿宋_GB2312"/>
          <w:color w:val="auto"/>
          <w:sz w:val="32"/>
          <w:szCs w:val="22"/>
        </w:rPr>
        <w:t>安全审计方面，应确保针对银行设备的相关操作留有纸质或视频记录。</w:t>
      </w:r>
    </w:p>
    <w:p w14:paraId="3DB6F4E2">
      <w:pPr>
        <w:pageBreakBefore w:val="0"/>
        <w:kinsoku/>
        <w:overflowPunct/>
        <w:topLinePunct w:val="0"/>
        <w:autoSpaceDE/>
        <w:autoSpaceDN/>
        <w:bidi w:val="0"/>
        <w:adjustRightInd w:val="0"/>
        <w:snapToGrid/>
        <w:spacing w:beforeLines="0" w:afterLines="0" w:line="560" w:lineRule="exact"/>
        <w:ind w:firstLine="640" w:firstLineChars="200"/>
        <w:textAlignment w:val="baseline"/>
      </w:pPr>
      <w:r>
        <w:rPr>
          <w:rFonts w:hint="eastAsia" w:eastAsia="仿宋_GB2312"/>
          <w:sz w:val="32"/>
          <w:szCs w:val="22"/>
          <w:lang w:eastAsia="zh-CN"/>
        </w:rPr>
        <w:t>（</w:t>
      </w:r>
      <w:r>
        <w:rPr>
          <w:rFonts w:hint="eastAsia" w:eastAsia="仿宋_GB2312"/>
          <w:sz w:val="32"/>
          <w:szCs w:val="22"/>
          <w:lang w:val="en-US" w:eastAsia="zh-CN"/>
        </w:rPr>
        <w:t>五</w:t>
      </w:r>
      <w:r>
        <w:rPr>
          <w:rFonts w:hint="eastAsia" w:eastAsia="仿宋_GB2312"/>
          <w:sz w:val="32"/>
          <w:szCs w:val="22"/>
          <w:lang w:eastAsia="zh-CN"/>
        </w:rPr>
        <w:t>）</w:t>
      </w:r>
      <w:r>
        <w:rPr>
          <w:rFonts w:hint="default" w:eastAsia="仿宋_GB2312"/>
          <w:sz w:val="32"/>
          <w:szCs w:val="22"/>
        </w:rPr>
        <w:t>保密</w:t>
      </w:r>
      <w:r>
        <w:rPr>
          <w:rFonts w:hint="eastAsia" w:eastAsia="仿宋_GB2312"/>
          <w:b w:val="0"/>
          <w:bCs w:val="0"/>
          <w:sz w:val="32"/>
          <w:szCs w:val="22"/>
          <w:lang w:val="en-US" w:eastAsia="zh-CN"/>
        </w:rPr>
        <w:t>要求方面，</w:t>
      </w:r>
      <w:r>
        <w:rPr>
          <w:rFonts w:hint="default" w:eastAsia="仿宋_GB2312"/>
          <w:sz w:val="32"/>
          <w:szCs w:val="22"/>
        </w:rPr>
        <w:t>供应商对项目实施中涉及到的相关数据、资料、文档等具有保密的义务，并应按照相应保密规定执行。本项目所形成的数据成果归</w:t>
      </w:r>
      <w:r>
        <w:rPr>
          <w:rFonts w:hint="eastAsia" w:eastAsia="仿宋_GB2312"/>
          <w:sz w:val="32"/>
          <w:szCs w:val="22"/>
          <w:lang w:val="en-US" w:eastAsia="zh-CN"/>
        </w:rPr>
        <w:t>我行</w:t>
      </w:r>
      <w:r>
        <w:rPr>
          <w:rFonts w:hint="default" w:eastAsia="仿宋_GB2312"/>
          <w:sz w:val="32"/>
          <w:szCs w:val="22"/>
        </w:rPr>
        <w:t>所有。未经</w:t>
      </w:r>
      <w:r>
        <w:rPr>
          <w:rFonts w:hint="eastAsia" w:eastAsia="仿宋_GB2312"/>
          <w:sz w:val="32"/>
          <w:szCs w:val="22"/>
          <w:lang w:val="en-US" w:eastAsia="zh-CN"/>
        </w:rPr>
        <w:t>我行</w:t>
      </w:r>
      <w:r>
        <w:rPr>
          <w:rFonts w:hint="default" w:eastAsia="仿宋_GB2312"/>
          <w:sz w:val="32"/>
          <w:szCs w:val="22"/>
        </w:rPr>
        <w:t>同意，供应商</w:t>
      </w:r>
      <w:r>
        <w:rPr>
          <w:rFonts w:hint="eastAsia" w:eastAsia="仿宋_GB2312"/>
          <w:color w:val="auto"/>
          <w:sz w:val="32"/>
          <w:szCs w:val="22"/>
        </w:rPr>
        <w:t>不得向第三方泄露、公开或用于提供法律服务之外的其他目的</w:t>
      </w:r>
      <w:r>
        <w:rPr>
          <w:rFonts w:hint="eastAsia" w:eastAsia="仿宋_GB2312"/>
          <w:color w:val="auto"/>
          <w:sz w:val="32"/>
          <w:szCs w:val="22"/>
          <w:lang w:eastAsia="zh-CN"/>
        </w:rPr>
        <w:t>，</w:t>
      </w:r>
      <w:r>
        <w:rPr>
          <w:rFonts w:hint="eastAsia" w:eastAsia="仿宋_GB2312"/>
          <w:color w:val="auto"/>
          <w:sz w:val="32"/>
          <w:szCs w:val="22"/>
        </w:rPr>
        <w:t>对掌握的</w:t>
      </w:r>
      <w:r>
        <w:rPr>
          <w:rFonts w:hint="eastAsia" w:eastAsia="仿宋_GB2312"/>
          <w:color w:val="auto"/>
          <w:sz w:val="32"/>
          <w:szCs w:val="22"/>
          <w:lang w:val="en-US" w:eastAsia="zh-CN"/>
        </w:rPr>
        <w:t>我行</w:t>
      </w:r>
      <w:r>
        <w:rPr>
          <w:rFonts w:hint="eastAsia" w:eastAsia="仿宋_GB2312"/>
          <w:color w:val="auto"/>
          <w:sz w:val="32"/>
          <w:szCs w:val="22"/>
        </w:rPr>
        <w:t>、</w:t>
      </w:r>
      <w:r>
        <w:rPr>
          <w:rFonts w:hint="eastAsia" w:eastAsia="仿宋_GB2312"/>
          <w:color w:val="auto"/>
          <w:sz w:val="32"/>
          <w:szCs w:val="22"/>
          <w:lang w:val="en-US" w:eastAsia="zh-CN"/>
        </w:rPr>
        <w:t>我行</w:t>
      </w:r>
      <w:r>
        <w:rPr>
          <w:rFonts w:hint="eastAsia" w:eastAsia="仿宋_GB2312"/>
          <w:color w:val="auto"/>
          <w:sz w:val="32"/>
          <w:szCs w:val="22"/>
        </w:rPr>
        <w:t>客户的资料，</w:t>
      </w:r>
      <w:r>
        <w:rPr>
          <w:rFonts w:hint="eastAsia" w:eastAsia="仿宋_GB2312"/>
          <w:color w:val="auto"/>
          <w:sz w:val="32"/>
          <w:szCs w:val="22"/>
          <w:lang w:val="en-US" w:eastAsia="zh-CN"/>
        </w:rPr>
        <w:t>供应商</w:t>
      </w:r>
      <w:r>
        <w:rPr>
          <w:rFonts w:hint="eastAsia" w:eastAsia="仿宋_GB2312"/>
          <w:color w:val="auto"/>
          <w:sz w:val="32"/>
          <w:szCs w:val="22"/>
        </w:rPr>
        <w:t>应采取措施与其他客户资料施行有效隔离。</w:t>
      </w:r>
    </w:p>
    <w:p w14:paraId="3A78307A">
      <w:pPr>
        <w:pStyle w:val="15"/>
        <w:keepNext/>
        <w:keepLines/>
        <w:pageBreakBefore w:val="0"/>
        <w:widowControl w:val="0"/>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ascii="Times New Roman" w:hAnsi="Times New Roman" w:eastAsia="黑体"/>
          <w:b w:val="0"/>
          <w:bCs w:val="0"/>
          <w:color w:val="auto"/>
          <w:sz w:val="32"/>
        </w:rPr>
      </w:pPr>
      <w:bookmarkStart w:id="13" w:name="_Toc26251"/>
      <w:bookmarkStart w:id="14" w:name="_Toc21831"/>
      <w:r>
        <w:rPr>
          <w:rFonts w:hint="eastAsia" w:ascii="Times New Roman" w:hAnsi="黑体" w:eastAsia="黑体"/>
          <w:b w:val="0"/>
          <w:bCs w:val="0"/>
          <w:color w:val="auto"/>
          <w:sz w:val="32"/>
          <w:lang w:val="en-US" w:eastAsia="zh-CN"/>
        </w:rPr>
        <w:t>八</w:t>
      </w:r>
      <w:r>
        <w:rPr>
          <w:rFonts w:ascii="Times New Roman" w:hAnsi="黑体" w:eastAsia="黑体"/>
          <w:b w:val="0"/>
          <w:bCs w:val="0"/>
          <w:color w:val="auto"/>
          <w:sz w:val="32"/>
        </w:rPr>
        <w:t>、交付或实施时间、地点</w:t>
      </w:r>
      <w:bookmarkEnd w:id="13"/>
      <w:bookmarkEnd w:id="14"/>
    </w:p>
    <w:p w14:paraId="6DD65E2E">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ascii="楷体_GB2312" w:hAnsi="楷体_GB2312" w:eastAsia="楷体_GB2312" w:cs="楷体_GB2312"/>
          <w:color w:val="auto"/>
          <w:sz w:val="32"/>
          <w:szCs w:val="22"/>
        </w:rPr>
      </w:pPr>
      <w:r>
        <w:rPr>
          <w:rFonts w:hint="eastAsia" w:ascii="楷体_GB2312" w:hAnsi="楷体_GB2312" w:eastAsia="楷体_GB2312" w:cs="楷体_GB2312"/>
          <w:color w:val="auto"/>
          <w:sz w:val="32"/>
          <w:szCs w:val="22"/>
          <w:lang w:val="en-US" w:eastAsia="zh-CN"/>
        </w:rPr>
        <w:t>（一）</w:t>
      </w:r>
      <w:r>
        <w:rPr>
          <w:rFonts w:hint="eastAsia" w:ascii="楷体_GB2312" w:hAnsi="楷体_GB2312" w:eastAsia="楷体_GB2312" w:cs="楷体_GB2312"/>
          <w:color w:val="auto"/>
          <w:sz w:val="32"/>
          <w:szCs w:val="22"/>
        </w:rPr>
        <w:t>项目周期</w:t>
      </w:r>
    </w:p>
    <w:p w14:paraId="2DF6B7A0">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default" w:ascii="Times New Roman" w:hAnsi="Times New Roman" w:eastAsia="仿宋_GB2312" w:cs="Times New Roman"/>
          <w:color w:val="auto"/>
          <w:sz w:val="32"/>
          <w:szCs w:val="22"/>
          <w:lang w:val="en-US" w:eastAsia="zh-CN"/>
        </w:rPr>
      </w:pPr>
      <w:r>
        <w:rPr>
          <w:rFonts w:hint="eastAsia" w:ascii="Times New Roman" w:hAnsi="Times New Roman" w:eastAsia="仿宋_GB2312" w:cs="Times New Roman"/>
          <w:color w:val="auto"/>
          <w:sz w:val="32"/>
          <w:szCs w:val="22"/>
          <w:lang w:val="en-US" w:eastAsia="zh-CN"/>
        </w:rPr>
        <w:t>合同签署至</w:t>
      </w:r>
      <w:r>
        <w:rPr>
          <w:rFonts w:hint="default" w:ascii="Times New Roman" w:hAnsi="Times New Roman" w:eastAsia="仿宋_GB2312" w:cs="Times New Roman"/>
          <w:color w:val="auto"/>
          <w:sz w:val="32"/>
          <w:szCs w:val="22"/>
          <w:lang w:eastAsia="zh-CN"/>
        </w:rPr>
        <w:t>项目</w:t>
      </w:r>
      <w:r>
        <w:rPr>
          <w:rFonts w:hint="eastAsia" w:ascii="Times New Roman" w:hAnsi="Times New Roman" w:eastAsia="仿宋_GB2312" w:cs="Times New Roman"/>
          <w:color w:val="auto"/>
          <w:sz w:val="32"/>
          <w:szCs w:val="22"/>
          <w:lang w:val="en-US" w:eastAsia="zh-CN"/>
        </w:rPr>
        <w:t>验收后12个月。</w:t>
      </w:r>
    </w:p>
    <w:p w14:paraId="358580FF">
      <w:pPr>
        <w:pageBreakBefore w:val="0"/>
        <w:widowControl/>
        <w:kinsoku/>
        <w:overflowPunct/>
        <w:topLinePunct w:val="0"/>
        <w:autoSpaceDE/>
        <w:autoSpaceDN/>
        <w:bidi w:val="0"/>
        <w:adjustRightInd w:val="0"/>
        <w:snapToGrid/>
        <w:spacing w:beforeLines="0" w:afterLines="0" w:line="560" w:lineRule="exact"/>
        <w:ind w:firstLine="640" w:firstLineChars="200"/>
        <w:textAlignment w:val="baseline"/>
        <w:rPr>
          <w:rFonts w:hint="eastAsia" w:ascii="楷体_GB2312" w:hAnsi="楷体_GB2312" w:eastAsia="楷体_GB2312" w:cs="楷体_GB2312"/>
          <w:color w:val="auto"/>
          <w:sz w:val="32"/>
          <w:szCs w:val="22"/>
        </w:rPr>
      </w:pPr>
      <w:r>
        <w:rPr>
          <w:rFonts w:hint="eastAsia" w:ascii="楷体_GB2312" w:hAnsi="楷体_GB2312" w:eastAsia="楷体_GB2312" w:cs="楷体_GB2312"/>
          <w:color w:val="auto"/>
          <w:sz w:val="32"/>
          <w:szCs w:val="22"/>
          <w:lang w:val="en-US" w:eastAsia="zh-CN"/>
        </w:rPr>
        <w:t>（二）</w:t>
      </w:r>
      <w:r>
        <w:rPr>
          <w:rFonts w:hint="eastAsia" w:ascii="楷体_GB2312" w:hAnsi="楷体_GB2312" w:eastAsia="楷体_GB2312" w:cs="楷体_GB2312"/>
          <w:color w:val="auto"/>
          <w:sz w:val="32"/>
          <w:szCs w:val="22"/>
        </w:rPr>
        <w:t>服务地点</w:t>
      </w:r>
    </w:p>
    <w:p w14:paraId="729D0829">
      <w:pPr>
        <w:pageBreakBefore w:val="0"/>
        <w:widowControl/>
        <w:kinsoku/>
        <w:overflowPunct/>
        <w:topLinePunct w:val="0"/>
        <w:autoSpaceDE/>
        <w:autoSpaceDN/>
        <w:bidi w:val="0"/>
        <w:adjustRightInd w:val="0"/>
        <w:snapToGrid/>
        <w:spacing w:beforeLines="0" w:afterLines="0" w:line="560" w:lineRule="exact"/>
        <w:ind w:firstLine="640" w:firstLineChars="200"/>
        <w:textAlignment w:val="baseline"/>
        <w:rPr>
          <w:rFonts w:eastAsia="仿宋_GB2312"/>
          <w:color w:val="auto"/>
          <w:sz w:val="32"/>
          <w:szCs w:val="22"/>
        </w:rPr>
      </w:pPr>
      <w:r>
        <w:rPr>
          <w:rFonts w:hint="default" w:ascii="Times New Roman" w:hAnsi="Times New Roman" w:eastAsia="仿宋_GB2312" w:cs="Times New Roman"/>
          <w:color w:val="auto"/>
          <w:sz w:val="32"/>
          <w:szCs w:val="22"/>
        </w:rPr>
        <w:t>中国进出口银行</w:t>
      </w:r>
      <w:r>
        <w:rPr>
          <w:rFonts w:ascii="Times New Roman" w:hAnsi="Times New Roman" w:eastAsia="仿宋_GB2312" w:cs="Times New Roman"/>
          <w:color w:val="auto"/>
          <w:sz w:val="32"/>
          <w:szCs w:val="22"/>
        </w:rPr>
        <w:t>信息科技部</w:t>
      </w:r>
      <w:r>
        <w:rPr>
          <w:rFonts w:hint="eastAsia" w:eastAsia="仿宋_GB2312" w:cs="Times New Roman"/>
          <w:color w:val="auto"/>
          <w:sz w:val="32"/>
          <w:szCs w:val="22"/>
          <w:lang w:eastAsia="zh-CN"/>
        </w:rPr>
        <w:t>（</w:t>
      </w:r>
      <w:r>
        <w:rPr>
          <w:rFonts w:hint="eastAsia" w:eastAsia="仿宋_GB2312" w:cs="Times New Roman"/>
          <w:color w:val="auto"/>
          <w:sz w:val="32"/>
          <w:szCs w:val="22"/>
          <w:lang w:val="en-US" w:eastAsia="zh-CN"/>
        </w:rPr>
        <w:t>北矿金融大厦</w:t>
      </w:r>
      <w:r>
        <w:rPr>
          <w:rFonts w:hint="eastAsia" w:eastAsia="仿宋_GB2312" w:cs="Times New Roman"/>
          <w:color w:val="auto"/>
          <w:sz w:val="32"/>
          <w:szCs w:val="22"/>
          <w:lang w:eastAsia="zh-CN"/>
        </w:rPr>
        <w:t>）</w:t>
      </w:r>
      <w:r>
        <w:rPr>
          <w:rFonts w:eastAsia="仿宋_GB2312"/>
          <w:color w:val="auto"/>
          <w:sz w:val="32"/>
          <w:szCs w:val="22"/>
        </w:rPr>
        <w:t>。</w:t>
      </w:r>
    </w:p>
    <w:p w14:paraId="08153F17">
      <w:pPr>
        <w:pStyle w:val="15"/>
        <w:keepNext/>
        <w:keepLines/>
        <w:pageBreakBefore w:val="0"/>
        <w:widowControl w:val="0"/>
        <w:numPr>
          <w:ilvl w:val="0"/>
          <w:numId w:val="5"/>
        </w:numPr>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ascii="Times New Roman" w:hAnsi="黑体" w:eastAsia="黑体"/>
          <w:b w:val="0"/>
          <w:bCs w:val="0"/>
          <w:color w:val="auto"/>
          <w:sz w:val="32"/>
        </w:rPr>
      </w:pPr>
      <w:bookmarkStart w:id="15" w:name="_Toc31718"/>
      <w:bookmarkStart w:id="16" w:name="_Toc27829"/>
      <w:r>
        <w:rPr>
          <w:rFonts w:ascii="Times New Roman" w:hAnsi="黑体" w:eastAsia="黑体"/>
          <w:b w:val="0"/>
          <w:bCs w:val="0"/>
          <w:color w:val="auto"/>
          <w:sz w:val="32"/>
        </w:rPr>
        <w:t>财务支付要求</w:t>
      </w:r>
      <w:bookmarkEnd w:id="15"/>
    </w:p>
    <w:p w14:paraId="7019B9D2">
      <w:pPr>
        <w:numPr>
          <w:ilvl w:val="0"/>
          <w:numId w:val="0"/>
        </w:numPr>
      </w:pPr>
    </w:p>
    <w:bookmarkEnd w:id="16"/>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81"/>
        <w:gridCol w:w="4296"/>
        <w:gridCol w:w="2187"/>
      </w:tblGrid>
      <w:tr w14:paraId="0C22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jc w:val="center"/>
        </w:trPr>
        <w:tc>
          <w:tcPr>
            <w:tcW w:w="485" w:type="dxa"/>
            <w:noWrap w:val="0"/>
            <w:vAlign w:val="center"/>
          </w:tcPr>
          <w:p w14:paraId="22B1C244">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序号</w:t>
            </w:r>
          </w:p>
        </w:tc>
        <w:tc>
          <w:tcPr>
            <w:tcW w:w="1281" w:type="dxa"/>
            <w:noWrap w:val="0"/>
            <w:vAlign w:val="center"/>
          </w:tcPr>
          <w:p w14:paraId="24B90DA2">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付款节点</w:t>
            </w:r>
          </w:p>
        </w:tc>
        <w:tc>
          <w:tcPr>
            <w:tcW w:w="4296" w:type="dxa"/>
            <w:noWrap w:val="0"/>
            <w:vAlign w:val="center"/>
          </w:tcPr>
          <w:p w14:paraId="3D7254F0">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付款条件</w:t>
            </w:r>
          </w:p>
        </w:tc>
        <w:tc>
          <w:tcPr>
            <w:tcW w:w="2187" w:type="dxa"/>
            <w:noWrap w:val="0"/>
            <w:vAlign w:val="center"/>
          </w:tcPr>
          <w:p w14:paraId="14506739">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付款比例(或金额)</w:t>
            </w:r>
          </w:p>
        </w:tc>
      </w:tr>
      <w:tr w14:paraId="5878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5" w:type="dxa"/>
            <w:noWrap w:val="0"/>
            <w:vAlign w:val="center"/>
          </w:tcPr>
          <w:p w14:paraId="0E23EB26">
            <w:pPr>
              <w:pageBreakBefore w:val="0"/>
              <w:kinsoku/>
              <w:overflowPunct/>
              <w:topLinePunct w:val="0"/>
              <w:autoSpaceDE/>
              <w:autoSpaceDN/>
              <w:bidi w:val="0"/>
              <w:snapToGrid/>
              <w:spacing w:beforeLines="0" w:afterLines="0" w:line="560" w:lineRule="exact"/>
              <w:ind w:firstLine="0" w:firstLineChars="0"/>
              <w:jc w:val="center"/>
              <w:rPr>
                <w:rFonts w:eastAsia="仿宋_GB2312"/>
                <w:color w:val="auto"/>
                <w:sz w:val="24"/>
                <w:szCs w:val="22"/>
              </w:rPr>
            </w:pPr>
            <w:r>
              <w:rPr>
                <w:rFonts w:hAnsi="楷体" w:eastAsia="仿宋_GB2312"/>
                <w:color w:val="auto"/>
                <w:sz w:val="24"/>
                <w:szCs w:val="22"/>
              </w:rPr>
              <w:t>１</w:t>
            </w:r>
          </w:p>
        </w:tc>
        <w:tc>
          <w:tcPr>
            <w:tcW w:w="1281" w:type="dxa"/>
            <w:noWrap w:val="0"/>
            <w:vAlign w:val="center"/>
          </w:tcPr>
          <w:p w14:paraId="76D240DD">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auto"/>
                <w:sz w:val="24"/>
                <w:szCs w:val="22"/>
              </w:rPr>
            </w:pPr>
            <w:r>
              <w:rPr>
                <w:rFonts w:hAnsi="楷体" w:eastAsia="仿宋_GB2312"/>
                <w:color w:val="auto"/>
                <w:sz w:val="24"/>
                <w:szCs w:val="22"/>
              </w:rPr>
              <w:t>首付款</w:t>
            </w:r>
          </w:p>
        </w:tc>
        <w:tc>
          <w:tcPr>
            <w:tcW w:w="4296" w:type="dxa"/>
            <w:noWrap w:val="0"/>
            <w:vAlign w:val="center"/>
          </w:tcPr>
          <w:p w14:paraId="5EE46509">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olor w:val="auto"/>
                <w:sz w:val="24"/>
                <w:szCs w:val="22"/>
                <w:lang w:val="en-US" w:eastAsia="zh-CN"/>
              </w:rPr>
            </w:pPr>
            <w:r>
              <w:rPr>
                <w:rFonts w:hint="eastAsia" w:hAnsi="楷体" w:eastAsia="仿宋_GB2312" w:cs="Times New Roman"/>
                <w:color w:val="auto"/>
                <w:kern w:val="2"/>
                <w:sz w:val="24"/>
                <w:szCs w:val="22"/>
                <w:lang w:val="en-US" w:eastAsia="zh-CN"/>
              </w:rPr>
              <w:t>合同签署</w:t>
            </w:r>
            <w:r>
              <w:rPr>
                <w:rFonts w:hint="default" w:ascii="Times New Roman" w:hAnsi="楷体" w:eastAsia="仿宋_GB2312" w:cs="Times New Roman"/>
                <w:color w:val="auto"/>
                <w:kern w:val="2"/>
                <w:sz w:val="24"/>
                <w:szCs w:val="22"/>
              </w:rPr>
              <w:t>后，甲方在收到乙方出具的付款申请及相应金额经甲方认可的合法有效发票之日起</w:t>
            </w:r>
            <w:r>
              <w:rPr>
                <w:rFonts w:hint="eastAsia" w:hAnsi="楷体" w:eastAsia="仿宋_GB2312" w:cs="Times New Roman"/>
                <w:color w:val="auto"/>
                <w:kern w:val="2"/>
                <w:sz w:val="24"/>
                <w:szCs w:val="22"/>
                <w:lang w:val="en-US" w:eastAsia="zh-CN"/>
              </w:rPr>
              <w:t>20个工作</w:t>
            </w:r>
            <w:r>
              <w:rPr>
                <w:rFonts w:hint="default" w:ascii="Times New Roman" w:hAnsi="楷体" w:eastAsia="仿宋_GB2312" w:cs="Times New Roman"/>
                <w:color w:val="auto"/>
                <w:kern w:val="2"/>
                <w:sz w:val="24"/>
                <w:szCs w:val="22"/>
              </w:rPr>
              <w:t>日内</w:t>
            </w:r>
          </w:p>
        </w:tc>
        <w:tc>
          <w:tcPr>
            <w:tcW w:w="2187" w:type="dxa"/>
            <w:noWrap w:val="0"/>
            <w:vAlign w:val="center"/>
          </w:tcPr>
          <w:p w14:paraId="68E46956">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2</w:t>
            </w:r>
            <w:r>
              <w:rPr>
                <w:rFonts w:hint="default" w:ascii="Times New Roman" w:hAnsi="楷体" w:eastAsia="仿宋_GB2312" w:cs="Times New Roman"/>
                <w:color w:val="auto"/>
                <w:sz w:val="24"/>
                <w:szCs w:val="22"/>
                <w:lang w:val="en-US" w:eastAsia="zh-CN"/>
              </w:rPr>
              <w:t>0%</w:t>
            </w:r>
          </w:p>
        </w:tc>
      </w:tr>
      <w:tr w14:paraId="477E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5" w:type="dxa"/>
            <w:noWrap w:val="0"/>
            <w:vAlign w:val="center"/>
          </w:tcPr>
          <w:p w14:paraId="1A8CA2BB">
            <w:pPr>
              <w:pageBreakBefore w:val="0"/>
              <w:kinsoku/>
              <w:overflowPunct/>
              <w:topLinePunct w:val="0"/>
              <w:autoSpaceDE/>
              <w:autoSpaceDN/>
              <w:bidi w:val="0"/>
              <w:snapToGrid/>
              <w:spacing w:beforeLines="0" w:afterLines="0" w:line="560" w:lineRule="exact"/>
              <w:ind w:firstLine="0" w:firstLineChars="0"/>
              <w:jc w:val="center"/>
              <w:rPr>
                <w:rFonts w:hint="eastAsia" w:hAnsi="楷体" w:eastAsia="仿宋_GB2312"/>
                <w:color w:val="auto"/>
                <w:sz w:val="24"/>
                <w:szCs w:val="22"/>
                <w:lang w:val="en-US" w:eastAsia="zh-CN"/>
              </w:rPr>
            </w:pPr>
            <w:r>
              <w:rPr>
                <w:rFonts w:hint="eastAsia" w:hAnsi="楷体" w:eastAsia="仿宋_GB2312"/>
                <w:color w:val="auto"/>
                <w:sz w:val="24"/>
                <w:szCs w:val="22"/>
                <w:lang w:val="en-US" w:eastAsia="zh-CN"/>
              </w:rPr>
              <w:t>2</w:t>
            </w:r>
          </w:p>
        </w:tc>
        <w:tc>
          <w:tcPr>
            <w:tcW w:w="1281" w:type="dxa"/>
            <w:noWrap w:val="0"/>
            <w:vAlign w:val="center"/>
          </w:tcPr>
          <w:p w14:paraId="6B34954D">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lang w:val="en-US" w:eastAsia="zh-CN"/>
              </w:rPr>
            </w:pPr>
            <w:r>
              <w:rPr>
                <w:rFonts w:hint="eastAsia" w:hAnsi="楷体" w:eastAsia="仿宋_GB2312"/>
                <w:color w:val="auto"/>
                <w:sz w:val="24"/>
                <w:szCs w:val="22"/>
                <w:lang w:val="en-US" w:eastAsia="zh-CN"/>
              </w:rPr>
              <w:t>第二笔款</w:t>
            </w:r>
          </w:p>
        </w:tc>
        <w:tc>
          <w:tcPr>
            <w:tcW w:w="4296" w:type="dxa"/>
            <w:noWrap w:val="0"/>
            <w:vAlign w:val="center"/>
          </w:tcPr>
          <w:p w14:paraId="4ED6DCA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eastAsia" w:hAnsi="楷体" w:eastAsia="仿宋_GB2312" w:cs="Times New Roman"/>
                <w:color w:val="auto"/>
                <w:kern w:val="2"/>
                <w:sz w:val="24"/>
                <w:szCs w:val="22"/>
                <w:lang w:val="en-US" w:eastAsia="zh-CN"/>
              </w:rPr>
            </w:pPr>
            <w:r>
              <w:rPr>
                <w:rFonts w:hint="eastAsia" w:ascii="Times New Roman" w:hAnsi="楷体" w:eastAsia="仿宋_GB2312" w:cs="Times New Roman"/>
                <w:color w:val="auto"/>
                <w:kern w:val="2"/>
                <w:sz w:val="24"/>
                <w:szCs w:val="22"/>
                <w:lang w:val="en-US" w:eastAsia="zh-CN"/>
              </w:rPr>
              <w:t>全部需求上线后，甲方自收到乙方出具的付款申请及相应金额经甲方认可的合法有效发票之日起20</w:t>
            </w:r>
            <w:r>
              <w:rPr>
                <w:rFonts w:hint="eastAsia" w:hAnsi="楷体" w:eastAsia="仿宋_GB2312" w:cs="Times New Roman"/>
                <w:color w:val="auto"/>
                <w:kern w:val="2"/>
                <w:sz w:val="24"/>
                <w:szCs w:val="22"/>
                <w:lang w:val="en-US" w:eastAsia="zh-CN"/>
              </w:rPr>
              <w:t>个工作</w:t>
            </w:r>
            <w:r>
              <w:rPr>
                <w:rFonts w:hint="default" w:ascii="Times New Roman" w:hAnsi="楷体" w:eastAsia="仿宋_GB2312" w:cs="Times New Roman"/>
                <w:color w:val="auto"/>
                <w:kern w:val="2"/>
                <w:sz w:val="24"/>
                <w:szCs w:val="22"/>
              </w:rPr>
              <w:t>日内</w:t>
            </w:r>
          </w:p>
        </w:tc>
        <w:tc>
          <w:tcPr>
            <w:tcW w:w="2187" w:type="dxa"/>
            <w:noWrap w:val="0"/>
            <w:vAlign w:val="center"/>
          </w:tcPr>
          <w:p w14:paraId="0356F631">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eastAsia" w:hAnsi="楷体" w:eastAsia="仿宋_GB2312" w:cs="Times New Roman"/>
                <w:color w:val="auto"/>
                <w:sz w:val="24"/>
                <w:szCs w:val="22"/>
                <w:lang w:val="en-US" w:eastAsia="zh-CN"/>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5</w:t>
            </w:r>
            <w:r>
              <w:rPr>
                <w:rFonts w:hint="default" w:ascii="Times New Roman" w:hAnsi="楷体" w:eastAsia="仿宋_GB2312" w:cs="Times New Roman"/>
                <w:color w:val="auto"/>
                <w:sz w:val="24"/>
                <w:szCs w:val="22"/>
                <w:lang w:val="en-US" w:eastAsia="zh-CN"/>
              </w:rPr>
              <w:t>0%</w:t>
            </w:r>
          </w:p>
        </w:tc>
      </w:tr>
      <w:tr w14:paraId="6291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485" w:type="dxa"/>
            <w:noWrap w:val="0"/>
            <w:vAlign w:val="center"/>
          </w:tcPr>
          <w:p w14:paraId="51AC43C0">
            <w:pPr>
              <w:pageBreakBefore w:val="0"/>
              <w:kinsoku/>
              <w:overflowPunct/>
              <w:topLinePunct w:val="0"/>
              <w:autoSpaceDE/>
              <w:autoSpaceDN/>
              <w:bidi w:val="0"/>
              <w:snapToGrid/>
              <w:spacing w:beforeLines="0" w:afterLines="0" w:line="560" w:lineRule="exact"/>
              <w:ind w:firstLine="0" w:firstLineChars="0"/>
              <w:jc w:val="center"/>
              <w:rPr>
                <w:rFonts w:hint="eastAsia" w:hAnsi="楷体" w:eastAsia="仿宋_GB2312"/>
                <w:color w:val="auto"/>
                <w:sz w:val="24"/>
                <w:szCs w:val="22"/>
                <w:lang w:val="en-US" w:eastAsia="zh-CN"/>
              </w:rPr>
            </w:pPr>
            <w:r>
              <w:rPr>
                <w:rFonts w:hint="eastAsia" w:hAnsi="楷体" w:eastAsia="仿宋_GB2312"/>
                <w:color w:val="auto"/>
                <w:sz w:val="24"/>
                <w:szCs w:val="22"/>
                <w:lang w:val="en-US" w:eastAsia="zh-CN"/>
              </w:rPr>
              <w:t>2</w:t>
            </w:r>
          </w:p>
        </w:tc>
        <w:tc>
          <w:tcPr>
            <w:tcW w:w="1281" w:type="dxa"/>
            <w:noWrap w:val="0"/>
            <w:vAlign w:val="center"/>
          </w:tcPr>
          <w:p w14:paraId="2B8CD965">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lang w:val="en-US" w:eastAsia="zh-CN"/>
              </w:rPr>
            </w:pPr>
            <w:r>
              <w:rPr>
                <w:rFonts w:hint="eastAsia" w:hAnsi="楷体" w:eastAsia="仿宋_GB2312"/>
                <w:color w:val="auto"/>
                <w:sz w:val="24"/>
                <w:szCs w:val="22"/>
                <w:lang w:val="en-US" w:eastAsia="zh-CN"/>
              </w:rPr>
              <w:t>第三笔款</w:t>
            </w:r>
          </w:p>
        </w:tc>
        <w:tc>
          <w:tcPr>
            <w:tcW w:w="4296" w:type="dxa"/>
            <w:noWrap w:val="0"/>
            <w:vAlign w:val="center"/>
          </w:tcPr>
          <w:p w14:paraId="1ECD1EB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w:hAnsi="楷体" w:eastAsia="仿宋_GB2312" w:cs="Times New Roman"/>
                <w:color w:val="auto"/>
                <w:kern w:val="2"/>
                <w:sz w:val="24"/>
                <w:szCs w:val="22"/>
                <w:lang w:val="en-US" w:eastAsia="zh-CN"/>
              </w:rPr>
            </w:pPr>
            <w:r>
              <w:rPr>
                <w:rFonts w:hint="eastAsia" w:ascii="Times New Roman" w:hAnsi="楷体" w:eastAsia="仿宋_GB2312" w:cs="Times New Roman"/>
                <w:color w:val="auto"/>
                <w:kern w:val="2"/>
                <w:sz w:val="24"/>
                <w:szCs w:val="22"/>
                <w:lang w:val="en-US" w:eastAsia="zh-CN"/>
              </w:rPr>
              <w:t>全部需求通过验收后，甲方自收到乙方出具的付款申请及相应金额经甲方认可的合法有效发票之日起20</w:t>
            </w:r>
            <w:r>
              <w:rPr>
                <w:rFonts w:hint="eastAsia" w:hAnsi="楷体" w:eastAsia="仿宋_GB2312" w:cs="Times New Roman"/>
                <w:color w:val="auto"/>
                <w:kern w:val="2"/>
                <w:sz w:val="24"/>
                <w:szCs w:val="22"/>
                <w:lang w:val="en-US" w:eastAsia="zh-CN"/>
              </w:rPr>
              <w:t>个工作</w:t>
            </w:r>
            <w:r>
              <w:rPr>
                <w:rFonts w:hint="default" w:ascii="Times New Roman" w:hAnsi="楷体" w:eastAsia="仿宋_GB2312" w:cs="Times New Roman"/>
                <w:color w:val="auto"/>
                <w:kern w:val="2"/>
                <w:sz w:val="24"/>
                <w:szCs w:val="22"/>
              </w:rPr>
              <w:t>日内</w:t>
            </w:r>
          </w:p>
        </w:tc>
        <w:tc>
          <w:tcPr>
            <w:tcW w:w="2187" w:type="dxa"/>
            <w:noWrap w:val="0"/>
            <w:vAlign w:val="center"/>
          </w:tcPr>
          <w:p w14:paraId="52C73DB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eastAsia" w:hAnsi="楷体" w:eastAsia="仿宋_GB2312" w:cs="Times New Roman"/>
                <w:color w:val="auto"/>
                <w:sz w:val="24"/>
                <w:szCs w:val="22"/>
                <w:lang w:val="en-US" w:eastAsia="zh-CN"/>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7</w:t>
            </w:r>
            <w:r>
              <w:rPr>
                <w:rFonts w:hint="default" w:ascii="Times New Roman" w:hAnsi="楷体" w:eastAsia="仿宋_GB2312" w:cs="Times New Roman"/>
                <w:color w:val="auto"/>
                <w:sz w:val="24"/>
                <w:szCs w:val="22"/>
                <w:lang w:val="en-US" w:eastAsia="zh-CN"/>
              </w:rPr>
              <w:t>0%</w:t>
            </w:r>
          </w:p>
        </w:tc>
      </w:tr>
      <w:tr w14:paraId="1042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485" w:type="dxa"/>
            <w:noWrap w:val="0"/>
            <w:vAlign w:val="center"/>
          </w:tcPr>
          <w:p w14:paraId="58E64017">
            <w:pPr>
              <w:pageBreakBefore w:val="0"/>
              <w:kinsoku/>
              <w:overflowPunct/>
              <w:topLinePunct w:val="0"/>
              <w:autoSpaceDE/>
              <w:autoSpaceDN/>
              <w:bidi w:val="0"/>
              <w:snapToGrid/>
              <w:spacing w:beforeLines="0" w:afterLines="0" w:line="560" w:lineRule="exact"/>
              <w:ind w:firstLine="0" w:firstLineChars="0"/>
              <w:jc w:val="center"/>
              <w:rPr>
                <w:rFonts w:hint="eastAsia" w:eastAsia="仿宋_GB2312"/>
                <w:color w:val="auto"/>
                <w:sz w:val="24"/>
                <w:szCs w:val="22"/>
                <w:lang w:eastAsia="zh-CN"/>
              </w:rPr>
            </w:pPr>
            <w:r>
              <w:rPr>
                <w:rFonts w:hint="eastAsia" w:eastAsia="仿宋_GB2312"/>
                <w:color w:val="auto"/>
                <w:sz w:val="24"/>
                <w:szCs w:val="22"/>
                <w:lang w:val="en-US" w:eastAsia="zh-CN"/>
              </w:rPr>
              <w:t>3</w:t>
            </w:r>
          </w:p>
        </w:tc>
        <w:tc>
          <w:tcPr>
            <w:tcW w:w="1281" w:type="dxa"/>
            <w:noWrap w:val="0"/>
            <w:vAlign w:val="center"/>
          </w:tcPr>
          <w:p w14:paraId="1023A70B">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lang w:eastAsia="zh-CN"/>
              </w:rPr>
            </w:pPr>
            <w:r>
              <w:rPr>
                <w:rFonts w:hint="default" w:hAnsi="楷体" w:eastAsia="仿宋_GB2312"/>
                <w:color w:val="auto"/>
                <w:sz w:val="24"/>
                <w:szCs w:val="22"/>
                <w:lang w:val="en-US" w:eastAsia="zh-CN"/>
              </w:rPr>
              <w:t>尾</w:t>
            </w:r>
            <w:r>
              <w:rPr>
                <w:rFonts w:hint="eastAsia" w:hAnsi="楷体" w:eastAsia="仿宋_GB2312"/>
                <w:color w:val="auto"/>
                <w:sz w:val="24"/>
                <w:szCs w:val="22"/>
                <w:lang w:val="en-US" w:eastAsia="zh-CN"/>
              </w:rPr>
              <w:t xml:space="preserve">  </w:t>
            </w:r>
            <w:r>
              <w:rPr>
                <w:rFonts w:hint="default" w:hAnsi="楷体" w:eastAsia="仿宋_GB2312"/>
                <w:color w:val="auto"/>
                <w:sz w:val="24"/>
                <w:szCs w:val="22"/>
                <w:lang w:val="en-US" w:eastAsia="zh-CN"/>
              </w:rPr>
              <w:t>款</w:t>
            </w:r>
          </w:p>
        </w:tc>
        <w:tc>
          <w:tcPr>
            <w:tcW w:w="4296" w:type="dxa"/>
            <w:noWrap w:val="0"/>
            <w:vAlign w:val="center"/>
          </w:tcPr>
          <w:p w14:paraId="46038BF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hAnsi="楷体" w:eastAsia="仿宋_GB2312"/>
                <w:color w:val="auto"/>
                <w:sz w:val="24"/>
                <w:szCs w:val="22"/>
                <w:lang w:eastAsia="zh-CN"/>
              </w:rPr>
            </w:pPr>
            <w:r>
              <w:rPr>
                <w:rFonts w:hint="eastAsia" w:hAnsi="楷体" w:eastAsia="仿宋_GB2312"/>
                <w:color w:val="auto"/>
                <w:sz w:val="24"/>
                <w:szCs w:val="22"/>
                <w:lang w:val="en-US" w:eastAsia="zh-CN"/>
              </w:rPr>
              <w:t>维护期结束，乙方提交维护期总结报告并得到甲方书面确认后，甲方收到乙方出具的付款申请及相应金额经甲方认可的合法有效发票之日起20</w:t>
            </w:r>
            <w:r>
              <w:rPr>
                <w:rFonts w:hint="default" w:hAnsi="楷体" w:eastAsia="仿宋_GB2312"/>
                <w:color w:val="auto"/>
                <w:sz w:val="24"/>
                <w:szCs w:val="22"/>
                <w:lang w:eastAsia="zh-CN"/>
              </w:rPr>
              <w:t>个工作日内</w:t>
            </w:r>
          </w:p>
        </w:tc>
        <w:tc>
          <w:tcPr>
            <w:tcW w:w="2187" w:type="dxa"/>
            <w:noWrap w:val="0"/>
            <w:vAlign w:val="center"/>
          </w:tcPr>
          <w:p w14:paraId="22C8908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rPr>
            </w:pPr>
            <w:r>
              <w:rPr>
                <w:rFonts w:hint="eastAsia" w:hAnsi="楷体" w:eastAsia="仿宋_GB2312" w:cs="Times New Roman"/>
                <w:color w:val="auto"/>
                <w:sz w:val="24"/>
                <w:szCs w:val="22"/>
                <w:lang w:val="en-US" w:eastAsia="zh-CN"/>
              </w:rPr>
              <w:t>付款至</w:t>
            </w:r>
            <w:r>
              <w:rPr>
                <w:rFonts w:hint="default" w:ascii="Times New Roman" w:hAnsi="楷体" w:eastAsia="仿宋_GB2312" w:cs="Times New Roman"/>
                <w:color w:val="auto"/>
                <w:sz w:val="24"/>
                <w:szCs w:val="22"/>
                <w:lang w:val="en-US" w:eastAsia="zh-CN"/>
              </w:rPr>
              <w:t>合同金额的</w:t>
            </w:r>
            <w:r>
              <w:rPr>
                <w:rFonts w:hint="eastAsia" w:hAnsi="楷体" w:eastAsia="仿宋_GB2312" w:cs="Times New Roman"/>
                <w:color w:val="auto"/>
                <w:sz w:val="24"/>
                <w:szCs w:val="22"/>
                <w:lang w:val="en-US" w:eastAsia="zh-CN"/>
              </w:rPr>
              <w:t>10</w:t>
            </w:r>
            <w:r>
              <w:rPr>
                <w:rFonts w:hint="default" w:ascii="Times New Roman" w:hAnsi="楷体" w:eastAsia="仿宋_GB2312" w:cs="Times New Roman"/>
                <w:color w:val="auto"/>
                <w:sz w:val="24"/>
                <w:szCs w:val="22"/>
                <w:lang w:val="en-US" w:eastAsia="zh-CN"/>
              </w:rPr>
              <w:t>0%</w:t>
            </w:r>
          </w:p>
        </w:tc>
      </w:tr>
    </w:tbl>
    <w:p w14:paraId="7AE59BC4">
      <w:pPr>
        <w:pStyle w:val="15"/>
        <w:keepNext/>
        <w:keepLines/>
        <w:pageBreakBefore w:val="0"/>
        <w:widowControl w:val="0"/>
        <w:kinsoku/>
        <w:wordWrap/>
        <w:overflowPunct/>
        <w:topLinePunct w:val="0"/>
        <w:autoSpaceDE/>
        <w:autoSpaceDN/>
        <w:bidi w:val="0"/>
        <w:adjustRightInd w:val="0"/>
        <w:snapToGrid/>
        <w:spacing w:before="157" w:beforeLines="50" w:after="0" w:afterLines="0" w:line="560" w:lineRule="exact"/>
        <w:ind w:firstLine="640" w:firstLineChars="200"/>
        <w:jc w:val="left"/>
        <w:textAlignment w:val="baseline"/>
        <w:outlineLvl w:val="0"/>
        <w:rPr>
          <w:rFonts w:ascii="Times New Roman" w:hAnsi="Times New Roman" w:eastAsia="黑体"/>
          <w:b w:val="0"/>
          <w:bCs w:val="0"/>
          <w:color w:val="auto"/>
          <w:sz w:val="32"/>
          <w:highlight w:val="none"/>
        </w:rPr>
      </w:pPr>
      <w:bookmarkStart w:id="17" w:name="_Toc31461"/>
      <w:bookmarkStart w:id="18" w:name="_Toc8242"/>
      <w:bookmarkStart w:id="19" w:name="_Toc29815"/>
      <w:r>
        <w:rPr>
          <w:rFonts w:hint="eastAsia" w:ascii="Times New Roman" w:hAnsi="黑体" w:eastAsia="黑体"/>
          <w:b w:val="0"/>
          <w:bCs w:val="0"/>
          <w:color w:val="auto"/>
          <w:sz w:val="32"/>
          <w:highlight w:val="none"/>
          <w:lang w:val="en-US" w:eastAsia="zh-CN"/>
        </w:rPr>
        <w:t>十</w:t>
      </w:r>
      <w:r>
        <w:rPr>
          <w:rFonts w:ascii="Times New Roman" w:hAnsi="黑体" w:eastAsia="黑体"/>
          <w:b w:val="0"/>
          <w:bCs w:val="0"/>
          <w:color w:val="auto"/>
          <w:sz w:val="32"/>
          <w:highlight w:val="none"/>
        </w:rPr>
        <w:t>、履约验收方案</w:t>
      </w:r>
      <w:bookmarkEnd w:id="17"/>
      <w:bookmarkEnd w:id="18"/>
      <w:bookmarkEnd w:id="19"/>
    </w:p>
    <w:p w14:paraId="2E136018">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ascii="楷体_GB2312" w:hAnsi="楷体_GB2312" w:eastAsia="楷体_GB2312" w:cs="楷体_GB2312"/>
          <w:color w:val="auto"/>
          <w:sz w:val="32"/>
          <w:szCs w:val="22"/>
        </w:rPr>
      </w:pPr>
      <w:r>
        <w:rPr>
          <w:rFonts w:hint="eastAsia" w:ascii="楷体_GB2312" w:hAnsi="楷体_GB2312" w:eastAsia="楷体_GB2312" w:cs="楷体_GB2312"/>
          <w:color w:val="auto"/>
          <w:sz w:val="32"/>
          <w:szCs w:val="22"/>
          <w:lang w:val="en-US" w:eastAsia="zh-CN"/>
        </w:rPr>
        <w:t>（一）</w:t>
      </w:r>
      <w:r>
        <w:rPr>
          <w:rFonts w:hint="eastAsia" w:ascii="楷体_GB2312" w:hAnsi="楷体_GB2312" w:eastAsia="楷体_GB2312" w:cs="楷体_GB2312"/>
          <w:color w:val="auto"/>
          <w:sz w:val="32"/>
          <w:szCs w:val="22"/>
        </w:rPr>
        <w:t>履约验收的主体、时间、程序</w:t>
      </w:r>
    </w:p>
    <w:p w14:paraId="1B8505F8">
      <w:pPr>
        <w:keepNext w:val="0"/>
        <w:keepLines w:val="0"/>
        <w:pageBreakBefore w:val="0"/>
        <w:widowControl/>
        <w:numPr>
          <w:ilvl w:val="0"/>
          <w:numId w:val="0"/>
        </w:numPr>
        <w:kinsoku/>
        <w:wordWrap/>
        <w:overflowPunct/>
        <w:topLinePunct w:val="0"/>
        <w:autoSpaceDE/>
        <w:autoSpaceDN/>
        <w:bidi w:val="0"/>
        <w:adjustRightInd w:val="0"/>
        <w:snapToGrid/>
        <w:spacing w:beforeLines="0" w:afterLines="0" w:line="560" w:lineRule="exact"/>
        <w:ind w:left="0" w:leftChars="0" w:firstLine="640" w:firstLineChars="200"/>
        <w:jc w:val="left"/>
        <w:textAlignment w:val="baseline"/>
        <w:rPr>
          <w:rFonts w:hint="eastAsia" w:eastAsia="仿宋_GB2312" w:cs="Times New Roman"/>
          <w:color w:val="auto"/>
          <w:sz w:val="32"/>
          <w:szCs w:val="22"/>
          <w:lang w:val="en-US" w:eastAsia="zh-CN"/>
        </w:rPr>
      </w:pPr>
      <w:r>
        <w:rPr>
          <w:rFonts w:hint="eastAsia" w:eastAsia="仿宋_GB2312" w:cs="Times New Roman"/>
          <w:color w:val="auto"/>
          <w:sz w:val="32"/>
          <w:szCs w:val="22"/>
          <w:lang w:val="en-US" w:eastAsia="zh-CN"/>
        </w:rPr>
        <w:t>1</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验收</w:t>
      </w:r>
      <w:r>
        <w:rPr>
          <w:rFonts w:hint="default" w:eastAsia="仿宋_GB2312" w:cs="Times New Roman"/>
          <w:color w:val="auto"/>
          <w:sz w:val="32"/>
          <w:szCs w:val="22"/>
          <w:lang w:val="en-US" w:eastAsia="zh-CN"/>
        </w:rPr>
        <w:t>主体</w:t>
      </w:r>
    </w:p>
    <w:p w14:paraId="62D824B3">
      <w:pPr>
        <w:keepNext w:val="0"/>
        <w:keepLines w:val="0"/>
        <w:pageBreakBefore w:val="0"/>
        <w:widowControl/>
        <w:numPr>
          <w:ilvl w:val="0"/>
          <w:numId w:val="0"/>
        </w:numPr>
        <w:kinsoku/>
        <w:wordWrap/>
        <w:overflowPunct/>
        <w:topLinePunct w:val="0"/>
        <w:autoSpaceDE/>
        <w:autoSpaceDN/>
        <w:bidi w:val="0"/>
        <w:adjustRightInd w:val="0"/>
        <w:snapToGrid/>
        <w:spacing w:beforeLines="0" w:afterLines="0" w:line="560" w:lineRule="exact"/>
        <w:ind w:left="0" w:leftChars="0" w:firstLine="640" w:firstLineChars="200"/>
        <w:jc w:val="left"/>
        <w:textAlignment w:val="baseline"/>
        <w:rPr>
          <w:rFonts w:hint="default" w:eastAsia="仿宋_GB2312" w:cs="Times New Roman"/>
          <w:color w:val="auto"/>
          <w:sz w:val="32"/>
          <w:szCs w:val="22"/>
          <w:lang w:val="en-US" w:eastAsia="zh-CN"/>
        </w:rPr>
      </w:pPr>
      <w:r>
        <w:rPr>
          <w:rFonts w:hint="default" w:ascii="Times New Roman" w:hAnsi="Times New Roman" w:eastAsia="仿宋_GB2312" w:cs="Times New Roman"/>
          <w:color w:val="auto"/>
          <w:sz w:val="32"/>
          <w:szCs w:val="22"/>
          <w:lang w:eastAsia="zh-CN"/>
        </w:rPr>
        <w:t>我行</w:t>
      </w:r>
      <w:r>
        <w:rPr>
          <w:rFonts w:hint="default" w:ascii="Times New Roman" w:hAnsi="Times New Roman" w:eastAsia="仿宋_GB2312" w:cs="Times New Roman"/>
          <w:color w:val="auto"/>
          <w:sz w:val="32"/>
          <w:szCs w:val="22"/>
        </w:rPr>
        <w:t>组织验收。</w:t>
      </w:r>
    </w:p>
    <w:p w14:paraId="27E1423E">
      <w:pPr>
        <w:keepNext w:val="0"/>
        <w:keepLines w:val="0"/>
        <w:pageBreakBefore w:val="0"/>
        <w:widowControl/>
        <w:numPr>
          <w:ilvl w:val="0"/>
          <w:numId w:val="0"/>
        </w:numPr>
        <w:kinsoku/>
        <w:wordWrap/>
        <w:overflowPunct/>
        <w:topLinePunct w:val="0"/>
        <w:autoSpaceDE/>
        <w:autoSpaceDN/>
        <w:bidi w:val="0"/>
        <w:adjustRightInd w:val="0"/>
        <w:snapToGrid/>
        <w:spacing w:beforeLines="0" w:afterLines="0" w:line="560" w:lineRule="exact"/>
        <w:ind w:left="0" w:leftChars="0" w:firstLine="640" w:firstLineChars="200"/>
        <w:jc w:val="left"/>
        <w:textAlignment w:val="baseline"/>
        <w:rPr>
          <w:rFonts w:hint="default" w:ascii="Times New Roman" w:hAnsi="Times New Roman" w:eastAsia="仿宋_GB2312" w:cs="Times New Roman"/>
          <w:color w:val="auto"/>
          <w:sz w:val="32"/>
          <w:szCs w:val="22"/>
          <w:lang w:val="en-US" w:eastAsia="zh-CN"/>
        </w:rPr>
      </w:pPr>
      <w:r>
        <w:rPr>
          <w:rFonts w:hint="eastAsia" w:eastAsia="仿宋_GB2312" w:cs="Times New Roman"/>
          <w:color w:val="auto"/>
          <w:sz w:val="32"/>
          <w:szCs w:val="22"/>
          <w:lang w:val="en-US" w:eastAsia="zh-CN"/>
        </w:rPr>
        <w:t>2.验收</w:t>
      </w:r>
      <w:r>
        <w:rPr>
          <w:rFonts w:hint="default" w:ascii="Times New Roman" w:hAnsi="Times New Roman" w:eastAsia="仿宋_GB2312" w:cs="Times New Roman"/>
          <w:color w:val="auto"/>
          <w:sz w:val="32"/>
          <w:szCs w:val="22"/>
          <w:lang w:val="en-US" w:eastAsia="zh-CN"/>
        </w:rPr>
        <w:t>时间</w:t>
      </w:r>
      <w:r>
        <w:rPr>
          <w:rFonts w:hint="eastAsia" w:eastAsia="仿宋_GB2312" w:cs="Times New Roman"/>
          <w:color w:val="auto"/>
          <w:sz w:val="32"/>
          <w:szCs w:val="22"/>
          <w:lang w:val="en-US" w:eastAsia="zh-CN"/>
        </w:rPr>
        <w:t>及程序</w:t>
      </w:r>
    </w:p>
    <w:p w14:paraId="29BBE0F3">
      <w:pPr>
        <w:keepNext w:val="0"/>
        <w:keepLines w:val="0"/>
        <w:pageBreakBefore w:val="0"/>
        <w:widowControl/>
        <w:numPr>
          <w:ilvl w:val="0"/>
          <w:numId w:val="0"/>
        </w:numPr>
        <w:kinsoku/>
        <w:wordWrap/>
        <w:overflowPunct/>
        <w:topLinePunct w:val="0"/>
        <w:autoSpaceDE/>
        <w:autoSpaceDN/>
        <w:bidi w:val="0"/>
        <w:adjustRightInd w:val="0"/>
        <w:snapToGrid/>
        <w:spacing w:beforeLines="0" w:afterLines="0" w:line="560" w:lineRule="exact"/>
        <w:ind w:left="0" w:leftChars="0"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需求涉及改造系统投产上线完成并稳定运行满3个月，各项功能满足验收标准，进出口银行分批组织验收。</w:t>
      </w:r>
    </w:p>
    <w:p w14:paraId="750664D9">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具备验收条件后，由供应商向我行提出验收申请，我行收到申请后，自行或授权第三方监理依照合同及本工作说明书对其工作进行验收评估，如验收评估中发现其工作存在瑕疵、问题或遗漏，供应商须按照甲方要求限时解决，解决后我行再次进行验收。验收通过后，我行出具验收报告。</w:t>
      </w:r>
    </w:p>
    <w:p w14:paraId="33A23245">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ascii="楷体_GB2312" w:hAnsi="楷体_GB2312" w:eastAsia="楷体_GB2312" w:cs="楷体_GB2312"/>
          <w:color w:val="auto"/>
          <w:sz w:val="32"/>
          <w:szCs w:val="22"/>
        </w:rPr>
      </w:pPr>
      <w:r>
        <w:rPr>
          <w:rFonts w:hint="eastAsia" w:ascii="楷体_GB2312" w:hAnsi="楷体_GB2312" w:eastAsia="楷体_GB2312" w:cs="楷体_GB2312"/>
          <w:color w:val="auto"/>
          <w:sz w:val="32"/>
          <w:szCs w:val="22"/>
          <w:lang w:val="en-US" w:eastAsia="zh-CN"/>
        </w:rPr>
        <w:t>（二）</w:t>
      </w:r>
      <w:r>
        <w:rPr>
          <w:rFonts w:hint="eastAsia" w:ascii="楷体_GB2312" w:hAnsi="楷体_GB2312" w:eastAsia="楷体_GB2312" w:cs="楷体_GB2312"/>
          <w:color w:val="auto"/>
          <w:sz w:val="32"/>
          <w:szCs w:val="22"/>
        </w:rPr>
        <w:t>履约验收内容和标准</w:t>
      </w:r>
    </w:p>
    <w:p w14:paraId="3BC50EFF">
      <w:pPr>
        <w:keepLines w:val="0"/>
        <w:pageBreakBefore w:val="0"/>
        <w:numPr>
          <w:ilvl w:val="0"/>
          <w:numId w:val="0"/>
        </w:numPr>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1.验收内容</w:t>
      </w:r>
    </w:p>
    <w:p w14:paraId="291CB18D">
      <w:pPr>
        <w:keepLines w:val="0"/>
        <w:pageBreakBefore w:val="0"/>
        <w:numPr>
          <w:ilvl w:val="0"/>
          <w:numId w:val="0"/>
        </w:numPr>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（1）交付件，包括文档资料、源代码等</w:t>
      </w:r>
    </w:p>
    <w:p w14:paraId="26673F62">
      <w:pPr>
        <w:keepLines w:val="0"/>
        <w:pageBreakBefore w:val="0"/>
        <w:numPr>
          <w:ilvl w:val="0"/>
          <w:numId w:val="0"/>
        </w:numPr>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（2）适配改造的物理子系统应用软件</w:t>
      </w:r>
    </w:p>
    <w:p w14:paraId="5E89D8A0">
      <w:pPr>
        <w:keepLines w:val="0"/>
        <w:pageBreakBefore w:val="0"/>
        <w:numPr>
          <w:ilvl w:val="0"/>
          <w:numId w:val="0"/>
        </w:numPr>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（3）以量化的SLA考核指标为依据，对供应商服务及项目完成情况进行量化评价</w:t>
      </w:r>
    </w:p>
    <w:p w14:paraId="13C9E120">
      <w:pPr>
        <w:keepLines w:val="0"/>
        <w:pageBreakBefore w:val="0"/>
        <w:numPr>
          <w:ilvl w:val="0"/>
          <w:numId w:val="0"/>
        </w:numPr>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2.验收标准</w:t>
      </w:r>
    </w:p>
    <w:p w14:paraId="67747A3E">
      <w:pPr>
        <w:keepLines w:val="0"/>
        <w:pageBreakBefore w:val="0"/>
        <w:numPr>
          <w:ilvl w:val="0"/>
          <w:numId w:val="0"/>
        </w:numPr>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（1）文档验收标准</w:t>
      </w:r>
    </w:p>
    <w:p w14:paraId="2A2AB2B3">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文档内容应包含对应工作阶段的所有工作任务的最终成果</w:t>
      </w:r>
    </w:p>
    <w:p w14:paraId="2CF96BB5">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文档内容无重大分歧，进出口银行能够接受文档中的主要观点、认可文档中所体现的工作成果</w:t>
      </w:r>
    </w:p>
    <w:p w14:paraId="10082928">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所有正式交付件表达清晰、内容完整，符合我行要求。交付文档的描述不存在实质性的错误（包括不真实、遗漏、误差、以及对使用者可能产生误导的信息）；文字无重大或误导性错误</w:t>
      </w:r>
    </w:p>
    <w:p w14:paraId="5B835C1A">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文档交付齐备</w:t>
      </w:r>
    </w:p>
    <w:p w14:paraId="1A9E75F0">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除特别指明的并经我行同意的英文提交文档之外，要求提供中文文档</w:t>
      </w:r>
    </w:p>
    <w:p w14:paraId="413196E9">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提交项目全部交付件并通过我行审核，在此基础上形成项目的《交付件交付情况一览表》，经过我行核对认可</w:t>
      </w:r>
    </w:p>
    <w:p w14:paraId="271E8152">
      <w:pPr>
        <w:keepLines w:val="0"/>
        <w:pageBreakBefore w:val="0"/>
        <w:numPr>
          <w:ilvl w:val="0"/>
          <w:numId w:val="0"/>
        </w:numPr>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（2）系统验收标准</w:t>
      </w:r>
    </w:p>
    <w:p w14:paraId="25B5B954">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系统符合项目工作说明书的要求</w:t>
      </w:r>
    </w:p>
    <w:p w14:paraId="76108135">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新增系统的安全等级保护基本要求满足国家标准和监管要求中对本系统的相应要求</w:t>
      </w:r>
    </w:p>
    <w:p w14:paraId="6EC9A1B8">
      <w:pPr>
        <w:keepLines w:val="0"/>
        <w:pageBreakBefore w:val="0"/>
        <w:numPr>
          <w:ilvl w:val="0"/>
          <w:numId w:val="6"/>
        </w:numPr>
        <w:kinsoku/>
        <w:overflowPunct/>
        <w:topLinePunct w:val="0"/>
        <w:autoSpaceDE/>
        <w:autoSpaceDN/>
        <w:bidi w:val="0"/>
        <w:adjustRightInd/>
        <w:snapToGrid/>
        <w:spacing w:line="560" w:lineRule="exact"/>
        <w:ind w:left="1050" w:leftChars="0" w:hanging="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系统通过用户接收测试，若有遗留问题须在本项目最终验收启动前解决</w:t>
      </w:r>
    </w:p>
    <w:p w14:paraId="2DA951BD">
      <w:pPr>
        <w:pStyle w:val="18"/>
        <w:numPr>
          <w:ilvl w:val="0"/>
          <w:numId w:val="7"/>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SLA指标考核</w:t>
      </w:r>
    </w:p>
    <w:p w14:paraId="41F4D3E5">
      <w:pPr>
        <w:pStyle w:val="37"/>
        <w:widowControl/>
        <w:numPr>
          <w:ilvl w:val="0"/>
          <w:numId w:val="0"/>
        </w:numPr>
        <w:spacing w:afterLines="0" w:line="560" w:lineRule="exact"/>
        <w:ind w:left="0" w:firstLine="640" w:firstLineChars="200"/>
        <w:rPr>
          <w:rFonts w:hint="default" w:eastAsia="仿宋_GB2312" w:cs="Times New Roman"/>
          <w:sz w:val="32"/>
          <w:szCs w:val="28"/>
          <w:highlight w:val="none"/>
          <w:lang w:val="en-US" w:eastAsia="zh-CN"/>
        </w:rPr>
      </w:pPr>
      <w:r>
        <w:rPr>
          <w:rFonts w:hint="eastAsia" w:hAnsi="Times New Roman" w:eastAsia="仿宋_GB2312" w:cs="Times New Roman"/>
          <w:kern w:val="2"/>
          <w:sz w:val="32"/>
          <w:szCs w:val="28"/>
          <w:highlight w:val="none"/>
        </w:rPr>
        <w:t>本项目发起验收时，进行SLA考核。</w:t>
      </w:r>
      <w:r>
        <w:rPr>
          <w:rFonts w:hint="eastAsia" w:eastAsia="仿宋_GB2312" w:cs="Times New Roman"/>
          <w:sz w:val="32"/>
          <w:szCs w:val="28"/>
          <w:highlight w:val="none"/>
        </w:rPr>
        <w:t>指标</w:t>
      </w:r>
      <w:r>
        <w:rPr>
          <w:rFonts w:hint="eastAsia" w:eastAsia="仿宋_GB2312" w:cs="Times New Roman"/>
          <w:sz w:val="32"/>
          <w:szCs w:val="28"/>
          <w:highlight w:val="none"/>
          <w:lang w:val="en-US" w:eastAsia="zh-CN"/>
        </w:rPr>
        <w:t>项如下：</w:t>
      </w:r>
    </w:p>
    <w:tbl>
      <w:tblPr>
        <w:tblStyle w:val="20"/>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020"/>
        <w:gridCol w:w="2291"/>
        <w:gridCol w:w="5037"/>
        <w:gridCol w:w="1020"/>
      </w:tblGrid>
      <w:tr w14:paraId="16CC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74748B35">
            <w:pPr>
              <w:widowControl/>
              <w:spacing w:line="240" w:lineRule="auto"/>
              <w:jc w:val="center"/>
              <w:rPr>
                <w:rFonts w:hint="eastAsia" w:ascii="仿宋_GB2312" w:hAnsi="仿宋_GB2312" w:eastAsia="仿宋_GB2312" w:cs="仿宋_GB2312"/>
                <w:b/>
                <w:bCs/>
                <w:kern w:val="0"/>
                <w:sz w:val="24"/>
                <w:szCs w:val="24"/>
                <w:lang w:val="en-GB"/>
              </w:rPr>
            </w:pPr>
            <w:r>
              <w:rPr>
                <w:rFonts w:hint="eastAsia" w:ascii="仿宋_GB2312" w:hAnsi="仿宋_GB2312" w:eastAsia="仿宋_GB2312" w:cs="仿宋_GB2312"/>
                <w:b/>
                <w:bCs/>
                <w:kern w:val="0"/>
                <w:sz w:val="24"/>
                <w:lang w:val="en-GB"/>
              </w:rPr>
              <w:t>序号</w:t>
            </w:r>
          </w:p>
        </w:tc>
        <w:tc>
          <w:tcPr>
            <w:tcW w:w="520" w:type="pct"/>
            <w:noWrap w:val="0"/>
            <w:vAlign w:val="center"/>
          </w:tcPr>
          <w:p w14:paraId="1C30E0E9">
            <w:pPr>
              <w:widowControl/>
              <w:spacing w:line="240" w:lineRule="auto"/>
              <w:jc w:val="center"/>
              <w:rPr>
                <w:rFonts w:hint="eastAsia" w:ascii="仿宋_GB2312" w:hAnsi="仿宋_GB2312" w:eastAsia="仿宋_GB2312" w:cs="仿宋_GB2312"/>
                <w:b/>
                <w:bCs/>
                <w:kern w:val="0"/>
                <w:sz w:val="24"/>
                <w:szCs w:val="24"/>
                <w:lang w:val="en-GB"/>
              </w:rPr>
            </w:pPr>
            <w:r>
              <w:rPr>
                <w:rFonts w:hint="eastAsia" w:ascii="仿宋_GB2312" w:hAnsi="仿宋_GB2312" w:eastAsia="仿宋_GB2312" w:cs="仿宋_GB2312"/>
                <w:b/>
                <w:bCs/>
                <w:kern w:val="0"/>
                <w:sz w:val="24"/>
                <w:lang w:val="en-GB"/>
              </w:rPr>
              <w:t>指标名称</w:t>
            </w:r>
          </w:p>
        </w:tc>
        <w:tc>
          <w:tcPr>
            <w:tcW w:w="1168" w:type="pct"/>
            <w:noWrap w:val="0"/>
            <w:vAlign w:val="center"/>
          </w:tcPr>
          <w:p w14:paraId="35781179">
            <w:pPr>
              <w:widowControl/>
              <w:spacing w:line="240" w:lineRule="auto"/>
              <w:jc w:val="center"/>
              <w:rPr>
                <w:rFonts w:hint="eastAsia" w:ascii="仿宋_GB2312" w:hAnsi="仿宋_GB2312" w:eastAsia="仿宋_GB2312" w:cs="仿宋_GB2312"/>
                <w:b/>
                <w:bCs/>
                <w:kern w:val="0"/>
                <w:sz w:val="24"/>
                <w:szCs w:val="24"/>
                <w:lang w:val="en-GB"/>
              </w:rPr>
            </w:pPr>
            <w:r>
              <w:rPr>
                <w:rFonts w:hint="eastAsia" w:ascii="仿宋_GB2312" w:hAnsi="仿宋_GB2312" w:eastAsia="仿宋_GB2312" w:cs="仿宋_GB2312"/>
                <w:b/>
                <w:bCs/>
                <w:kern w:val="0"/>
                <w:sz w:val="24"/>
                <w:lang w:val="en-GB"/>
              </w:rPr>
              <w:t>量化标准</w:t>
            </w:r>
          </w:p>
        </w:tc>
        <w:tc>
          <w:tcPr>
            <w:tcW w:w="2567" w:type="pct"/>
            <w:noWrap w:val="0"/>
            <w:vAlign w:val="center"/>
          </w:tcPr>
          <w:p w14:paraId="5EF41C81">
            <w:pPr>
              <w:widowControl/>
              <w:spacing w:line="240" w:lineRule="auto"/>
              <w:jc w:val="center"/>
              <w:rPr>
                <w:rFonts w:hint="eastAsia" w:ascii="仿宋_GB2312" w:hAnsi="仿宋_GB2312" w:eastAsia="仿宋_GB2312" w:cs="仿宋_GB2312"/>
                <w:b/>
                <w:bCs/>
                <w:kern w:val="0"/>
                <w:sz w:val="24"/>
                <w:lang w:val="en-GB"/>
              </w:rPr>
            </w:pPr>
            <w:r>
              <w:rPr>
                <w:rFonts w:hint="eastAsia" w:ascii="仿宋_GB2312" w:hAnsi="仿宋_GB2312" w:eastAsia="仿宋_GB2312" w:cs="仿宋_GB2312"/>
                <w:b/>
                <w:bCs/>
                <w:kern w:val="0"/>
                <w:sz w:val="24"/>
                <w:lang w:val="en-GB"/>
              </w:rPr>
              <w:t>评估方式</w:t>
            </w:r>
          </w:p>
          <w:p w14:paraId="323B84F4">
            <w:pPr>
              <w:widowControl/>
              <w:spacing w:line="240" w:lineRule="auto"/>
              <w:jc w:val="center"/>
              <w:rPr>
                <w:rFonts w:hint="eastAsia" w:ascii="仿宋_GB2312" w:hAnsi="仿宋_GB2312" w:eastAsia="仿宋_GB2312" w:cs="仿宋_GB2312"/>
                <w:b/>
                <w:bCs/>
                <w:kern w:val="0"/>
                <w:sz w:val="24"/>
                <w:szCs w:val="24"/>
                <w:lang w:val="en-GB"/>
              </w:rPr>
            </w:pPr>
            <w:r>
              <w:rPr>
                <w:rFonts w:hint="eastAsia" w:ascii="仿宋_GB2312" w:hAnsi="仿宋_GB2312" w:eastAsia="仿宋_GB2312" w:cs="仿宋_GB2312"/>
                <w:b/>
                <w:bCs/>
                <w:kern w:val="0"/>
                <w:sz w:val="24"/>
                <w:lang w:val="en-GB"/>
              </w:rPr>
              <w:t>（优100-良80-中60-差0）</w:t>
            </w:r>
          </w:p>
        </w:tc>
        <w:tc>
          <w:tcPr>
            <w:tcW w:w="520" w:type="pct"/>
            <w:noWrap w:val="0"/>
            <w:vAlign w:val="center"/>
          </w:tcPr>
          <w:p w14:paraId="56E93383">
            <w:pPr>
              <w:widowControl/>
              <w:spacing w:line="240" w:lineRule="auto"/>
              <w:jc w:val="center"/>
              <w:rPr>
                <w:rFonts w:hint="eastAsia" w:ascii="仿宋_GB2312" w:hAnsi="仿宋_GB2312" w:eastAsia="仿宋_GB2312" w:cs="仿宋_GB2312"/>
                <w:b/>
                <w:bCs/>
                <w:kern w:val="0"/>
                <w:sz w:val="24"/>
                <w:szCs w:val="24"/>
                <w:lang w:val="en-GB"/>
              </w:rPr>
            </w:pPr>
            <w:r>
              <w:rPr>
                <w:rFonts w:hint="eastAsia" w:ascii="仿宋_GB2312" w:hAnsi="仿宋_GB2312" w:eastAsia="仿宋_GB2312" w:cs="仿宋_GB2312"/>
                <w:b/>
                <w:bCs/>
                <w:kern w:val="0"/>
                <w:sz w:val="24"/>
                <w:lang w:val="en-GB"/>
              </w:rPr>
              <w:t>指标占比</w:t>
            </w:r>
          </w:p>
        </w:tc>
      </w:tr>
      <w:tr w14:paraId="30CE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5A48F429">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de-DE"/>
              </w:rPr>
              <w:t>1</w:t>
            </w:r>
          </w:p>
        </w:tc>
        <w:tc>
          <w:tcPr>
            <w:tcW w:w="520" w:type="pct"/>
            <w:noWrap w:val="0"/>
            <w:vAlign w:val="center"/>
          </w:tcPr>
          <w:p w14:paraId="6C67B484">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de-DE"/>
              </w:rPr>
              <w:t>本项目进度及计划执行率</w:t>
            </w:r>
          </w:p>
        </w:tc>
        <w:tc>
          <w:tcPr>
            <w:tcW w:w="1168" w:type="pct"/>
            <w:noWrap w:val="0"/>
            <w:vAlign w:val="center"/>
          </w:tcPr>
          <w:p w14:paraId="4835D2BF">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de-DE"/>
              </w:rPr>
              <w:t>各阶段累计工作延后完成天数/各阶段累计计划天数</w:t>
            </w:r>
          </w:p>
        </w:tc>
        <w:tc>
          <w:tcPr>
            <w:tcW w:w="2567" w:type="pct"/>
            <w:noWrap w:val="0"/>
            <w:vAlign w:val="center"/>
          </w:tcPr>
          <w:p w14:paraId="0FC580DF">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1. 计划延误率≤</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val="en-GB"/>
              </w:rPr>
              <w:t>%        优</w:t>
            </w:r>
          </w:p>
          <w:p w14:paraId="76FF9D00">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 xml:space="preserve">2. </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val="en-GB"/>
              </w:rPr>
              <w:t>%＜计划延误率≤</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lang w:val="en-GB"/>
              </w:rPr>
              <w:t>%   良</w:t>
            </w:r>
          </w:p>
          <w:p w14:paraId="7D455614">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3.</w:t>
            </w:r>
            <w:r>
              <w:rPr>
                <w:rFonts w:hint="eastAsia" w:ascii="仿宋_GB2312" w:hAnsi="仿宋_GB2312" w:eastAsia="仿宋_GB2312" w:cs="仿宋_GB2312"/>
                <w:kern w:val="0"/>
                <w:sz w:val="24"/>
                <w:szCs w:val="24"/>
                <w:lang w:val="en-US" w:eastAsia="zh-CN"/>
              </w:rPr>
              <w:t xml:space="preserve"> 10</w:t>
            </w:r>
            <w:r>
              <w:rPr>
                <w:rFonts w:hint="eastAsia" w:ascii="仿宋_GB2312" w:hAnsi="仿宋_GB2312" w:eastAsia="仿宋_GB2312" w:cs="仿宋_GB2312"/>
                <w:kern w:val="0"/>
                <w:sz w:val="24"/>
                <w:szCs w:val="24"/>
                <w:lang w:val="en-GB"/>
              </w:rPr>
              <w:t>%＜计划延误率≤15%  中</w:t>
            </w:r>
          </w:p>
          <w:p w14:paraId="2412A1D4">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4.</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GB"/>
              </w:rPr>
              <w:t>15%＜计划延误率       差</w:t>
            </w:r>
          </w:p>
        </w:tc>
        <w:tc>
          <w:tcPr>
            <w:tcW w:w="520" w:type="pct"/>
            <w:noWrap w:val="0"/>
            <w:vAlign w:val="center"/>
          </w:tcPr>
          <w:p w14:paraId="5E2E8862">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lang w:val="de-DE"/>
              </w:rPr>
              <w:t>0%</w:t>
            </w:r>
          </w:p>
        </w:tc>
      </w:tr>
      <w:tr w14:paraId="22AC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35420434">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de-DE"/>
              </w:rPr>
              <w:t>2</w:t>
            </w:r>
          </w:p>
        </w:tc>
        <w:tc>
          <w:tcPr>
            <w:tcW w:w="520" w:type="pct"/>
            <w:noWrap w:val="0"/>
            <w:vAlign w:val="center"/>
          </w:tcPr>
          <w:p w14:paraId="494974AE">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de-DE"/>
              </w:rPr>
              <w:t>项目投产后问题数量</w:t>
            </w:r>
          </w:p>
        </w:tc>
        <w:tc>
          <w:tcPr>
            <w:tcW w:w="1168" w:type="pct"/>
            <w:noWrap w:val="0"/>
            <w:vAlign w:val="center"/>
          </w:tcPr>
          <w:p w14:paraId="7DF69CC6">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de-DE"/>
              </w:rPr>
              <w:t>投产后至验收时累计问题数</w:t>
            </w:r>
          </w:p>
        </w:tc>
        <w:tc>
          <w:tcPr>
            <w:tcW w:w="2567" w:type="pct"/>
            <w:noWrap w:val="0"/>
            <w:vAlign w:val="center"/>
          </w:tcPr>
          <w:p w14:paraId="02E5BFF6">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1.每100功能点每</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val="en-GB"/>
              </w:rPr>
              <w:t>月发现问题数&lt;5   优</w:t>
            </w:r>
          </w:p>
          <w:p w14:paraId="69939587">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2.每100功能点每</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val="en-GB"/>
              </w:rPr>
              <w:t>月发现问题数&lt;=10 良</w:t>
            </w:r>
          </w:p>
          <w:p w14:paraId="013158F7">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3.每100功能点每</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val="en-GB"/>
              </w:rPr>
              <w:t>月发现问题数&lt;=15 中</w:t>
            </w:r>
          </w:p>
          <w:p w14:paraId="328C4CA0">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4.每100功能点每</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val="en-GB"/>
              </w:rPr>
              <w:t>月发现问题数&gt;15  差</w:t>
            </w:r>
          </w:p>
        </w:tc>
        <w:tc>
          <w:tcPr>
            <w:tcW w:w="520" w:type="pct"/>
            <w:noWrap w:val="0"/>
            <w:vAlign w:val="center"/>
          </w:tcPr>
          <w:p w14:paraId="6076CCA0">
            <w:pPr>
              <w:pStyle w:val="24"/>
              <w:widowControl/>
              <w:spacing w:line="240" w:lineRule="auto"/>
              <w:ind w:firstLine="0" w:firstLineChars="0"/>
              <w:jc w:val="center"/>
              <w:rPr>
                <w:rFonts w:hint="eastAsia" w:ascii="仿宋_GB2312" w:hAnsi="仿宋_GB2312" w:eastAsia="仿宋_GB2312" w:cs="仿宋_GB2312"/>
                <w:kern w:val="0"/>
                <w:sz w:val="24"/>
                <w:szCs w:val="24"/>
                <w:lang w:val="de-DE"/>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val="de-DE"/>
              </w:rPr>
              <w:t>0%</w:t>
            </w:r>
          </w:p>
        </w:tc>
      </w:tr>
      <w:tr w14:paraId="55CF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76EA8CE8">
            <w:pPr>
              <w:pStyle w:val="24"/>
              <w:widowControl/>
              <w:spacing w:line="240" w:lineRule="auto"/>
              <w:ind w:firstLine="0" w:firstLineChar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520" w:type="pct"/>
            <w:noWrap w:val="0"/>
            <w:vAlign w:val="center"/>
          </w:tcPr>
          <w:p w14:paraId="68197B4B">
            <w:pPr>
              <w:pStyle w:val="24"/>
              <w:widowControl/>
              <w:spacing w:line="240" w:lineRule="auto"/>
              <w:ind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工单未及时处理率</w:t>
            </w:r>
          </w:p>
        </w:tc>
        <w:tc>
          <w:tcPr>
            <w:tcW w:w="1168" w:type="pct"/>
            <w:noWrap w:val="0"/>
            <w:vAlign w:val="center"/>
          </w:tcPr>
          <w:p w14:paraId="1C02EC83">
            <w:pPr>
              <w:pStyle w:val="24"/>
              <w:widowControl/>
              <w:spacing w:line="240" w:lineRule="auto"/>
              <w:ind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工单处理时长超一个月工单数量/总工单数量</w:t>
            </w:r>
          </w:p>
        </w:tc>
        <w:tc>
          <w:tcPr>
            <w:tcW w:w="2567" w:type="pct"/>
            <w:noWrap w:val="0"/>
            <w:vAlign w:val="center"/>
          </w:tcPr>
          <w:p w14:paraId="7C04235A">
            <w:pPr>
              <w:pStyle w:val="24"/>
              <w:widowControl/>
              <w:numPr>
                <w:ilvl w:val="0"/>
                <w:numId w:val="0"/>
              </w:numPr>
              <w:spacing w:line="240" w:lineRule="auto"/>
              <w:ind w:firstLine="0"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 工单未及时处理率</w:t>
            </w:r>
            <w:r>
              <w:rPr>
                <w:rFonts w:hint="eastAsia" w:ascii="仿宋_GB2312" w:hAnsi="仿宋_GB2312" w:eastAsia="仿宋_GB2312" w:cs="仿宋_GB2312"/>
                <w:kern w:val="0"/>
                <w:sz w:val="24"/>
                <w:szCs w:val="24"/>
                <w:lang w:val="en-GB"/>
              </w:rPr>
              <w:t>≤0%</w:t>
            </w:r>
            <w:r>
              <w:rPr>
                <w:rFonts w:hint="eastAsia" w:ascii="仿宋_GB2312" w:hAnsi="仿宋_GB2312" w:eastAsia="仿宋_GB2312" w:cs="仿宋_GB2312"/>
                <w:kern w:val="0"/>
                <w:sz w:val="24"/>
                <w:szCs w:val="24"/>
                <w:lang w:val="en-US" w:eastAsia="zh-CN"/>
              </w:rPr>
              <w:t xml:space="preserve">     优</w:t>
            </w:r>
          </w:p>
          <w:p w14:paraId="59BE45D4">
            <w:pPr>
              <w:pStyle w:val="24"/>
              <w:widowControl/>
              <w:numPr>
                <w:ilvl w:val="0"/>
                <w:numId w:val="0"/>
              </w:numPr>
              <w:spacing w:line="240" w:lineRule="auto"/>
              <w:ind w:firstLine="0"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 0%&lt;工单未及时处理率</w:t>
            </w:r>
            <w:r>
              <w:rPr>
                <w:rFonts w:hint="eastAsia" w:ascii="仿宋_GB2312" w:hAnsi="仿宋_GB2312" w:eastAsia="仿宋_GB2312" w:cs="仿宋_GB2312"/>
                <w:kern w:val="0"/>
                <w:sz w:val="24"/>
                <w:szCs w:val="24"/>
                <w:lang w:val="en-GB"/>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val="en-GB"/>
              </w:rPr>
              <w:t>%</w:t>
            </w:r>
            <w:r>
              <w:rPr>
                <w:rFonts w:hint="eastAsia" w:ascii="仿宋_GB2312" w:hAnsi="仿宋_GB2312" w:eastAsia="仿宋_GB2312" w:cs="仿宋_GB2312"/>
                <w:kern w:val="0"/>
                <w:sz w:val="24"/>
                <w:szCs w:val="24"/>
                <w:lang w:val="en-US" w:eastAsia="zh-CN"/>
              </w:rPr>
              <w:t xml:space="preserve">  良</w:t>
            </w:r>
          </w:p>
          <w:p w14:paraId="620EBA54">
            <w:pPr>
              <w:pStyle w:val="24"/>
              <w:widowControl/>
              <w:numPr>
                <w:ilvl w:val="0"/>
                <w:numId w:val="0"/>
              </w:numPr>
              <w:spacing w:line="240" w:lineRule="auto"/>
              <w:ind w:firstLine="0"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 5%&lt;工单未及时处理率</w:t>
            </w:r>
            <w:r>
              <w:rPr>
                <w:rFonts w:hint="eastAsia" w:ascii="仿宋_GB2312" w:hAnsi="仿宋_GB2312" w:eastAsia="仿宋_GB2312" w:cs="仿宋_GB2312"/>
                <w:kern w:val="0"/>
                <w:sz w:val="24"/>
                <w:szCs w:val="24"/>
                <w:lang w:val="en-GB"/>
              </w:rPr>
              <w:t>≤</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kern w:val="0"/>
                <w:sz w:val="24"/>
                <w:szCs w:val="24"/>
                <w:lang w:val="en-GB"/>
              </w:rPr>
              <w:t>%</w:t>
            </w:r>
            <w:r>
              <w:rPr>
                <w:rFonts w:hint="eastAsia" w:ascii="仿宋_GB2312" w:hAnsi="仿宋_GB2312" w:eastAsia="仿宋_GB2312" w:cs="仿宋_GB2312"/>
                <w:kern w:val="0"/>
                <w:sz w:val="24"/>
                <w:szCs w:val="24"/>
                <w:lang w:val="en-US" w:eastAsia="zh-CN"/>
              </w:rPr>
              <w:t xml:space="preserve"> 中</w:t>
            </w:r>
          </w:p>
          <w:p w14:paraId="3DF6E6D7">
            <w:pPr>
              <w:pStyle w:val="24"/>
              <w:widowControl/>
              <w:numPr>
                <w:ilvl w:val="0"/>
                <w:numId w:val="0"/>
              </w:numPr>
              <w:spacing w:line="240" w:lineRule="auto"/>
              <w:ind w:firstLine="0" w:firstLineChars="0"/>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 15%&lt;工单未及时处理率     差</w:t>
            </w:r>
          </w:p>
        </w:tc>
        <w:tc>
          <w:tcPr>
            <w:tcW w:w="520" w:type="pct"/>
            <w:noWrap w:val="0"/>
            <w:vAlign w:val="center"/>
          </w:tcPr>
          <w:p w14:paraId="7640CE7D">
            <w:pPr>
              <w:pStyle w:val="24"/>
              <w:widowControl/>
              <w:spacing w:line="240" w:lineRule="auto"/>
              <w:ind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r>
      <w:tr w14:paraId="1D6D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2320F6FF">
            <w:pPr>
              <w:pStyle w:val="24"/>
              <w:widowControl/>
              <w:spacing w:line="240" w:lineRule="auto"/>
              <w:ind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520" w:type="pct"/>
            <w:noWrap w:val="0"/>
            <w:vAlign w:val="center"/>
          </w:tcPr>
          <w:p w14:paraId="51E2A1C9">
            <w:pPr>
              <w:pStyle w:val="24"/>
              <w:widowControl/>
              <w:spacing w:line="240" w:lineRule="auto"/>
              <w:ind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异常考勤率</w:t>
            </w:r>
          </w:p>
        </w:tc>
        <w:tc>
          <w:tcPr>
            <w:tcW w:w="1168" w:type="pct"/>
            <w:noWrap w:val="0"/>
            <w:vAlign w:val="center"/>
          </w:tcPr>
          <w:p w14:paraId="56E66207">
            <w:pPr>
              <w:pStyle w:val="24"/>
              <w:widowControl/>
              <w:spacing w:line="240" w:lineRule="auto"/>
              <w:ind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驻场期间异常考勤天数/应出勤天数</w:t>
            </w:r>
          </w:p>
        </w:tc>
        <w:tc>
          <w:tcPr>
            <w:tcW w:w="2567" w:type="pct"/>
            <w:noWrap w:val="0"/>
            <w:vAlign w:val="center"/>
          </w:tcPr>
          <w:p w14:paraId="4F4F167F">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 xml:space="preserve">1. </w:t>
            </w:r>
            <w:r>
              <w:rPr>
                <w:rFonts w:hint="eastAsia" w:ascii="仿宋_GB2312" w:hAnsi="仿宋_GB2312" w:eastAsia="仿宋_GB2312" w:cs="仿宋_GB2312"/>
                <w:kern w:val="0"/>
                <w:sz w:val="24"/>
                <w:szCs w:val="24"/>
                <w:lang w:val="en-US" w:eastAsia="zh-CN"/>
              </w:rPr>
              <w:t>异常考勤</w:t>
            </w:r>
            <w:r>
              <w:rPr>
                <w:rFonts w:hint="eastAsia" w:ascii="仿宋_GB2312" w:hAnsi="仿宋_GB2312" w:eastAsia="仿宋_GB2312" w:cs="仿宋_GB2312"/>
                <w:kern w:val="0"/>
                <w:sz w:val="24"/>
                <w:szCs w:val="24"/>
                <w:lang w:val="en-GB"/>
              </w:rPr>
              <w:t>率≤</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val="en-GB"/>
              </w:rPr>
              <w:t>%        优</w:t>
            </w:r>
          </w:p>
          <w:p w14:paraId="2556A079">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 xml:space="preserve">2. </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val="en-GB"/>
              </w:rPr>
              <w:t>%＜</w:t>
            </w:r>
            <w:r>
              <w:rPr>
                <w:rFonts w:hint="eastAsia" w:ascii="仿宋_GB2312" w:hAnsi="仿宋_GB2312" w:eastAsia="仿宋_GB2312" w:cs="仿宋_GB2312"/>
                <w:kern w:val="0"/>
                <w:sz w:val="24"/>
                <w:szCs w:val="24"/>
                <w:lang w:val="en-US" w:eastAsia="zh-CN"/>
              </w:rPr>
              <w:t>异常考勤</w:t>
            </w:r>
            <w:r>
              <w:rPr>
                <w:rFonts w:hint="eastAsia" w:ascii="仿宋_GB2312" w:hAnsi="仿宋_GB2312" w:eastAsia="仿宋_GB2312" w:cs="仿宋_GB2312"/>
                <w:kern w:val="0"/>
                <w:sz w:val="24"/>
                <w:szCs w:val="24"/>
                <w:lang w:val="en-GB"/>
              </w:rPr>
              <w:t>率≤</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lang w:val="en-GB"/>
              </w:rPr>
              <w:t>%   良</w:t>
            </w:r>
          </w:p>
          <w:p w14:paraId="47ADA65F">
            <w:pPr>
              <w:pStyle w:val="24"/>
              <w:widowControl/>
              <w:spacing w:line="240" w:lineRule="auto"/>
              <w:ind w:firstLine="0" w:firstLineChars="0"/>
              <w:jc w:val="left"/>
              <w:rPr>
                <w:rFonts w:hint="eastAsia" w:ascii="仿宋_GB2312" w:hAnsi="仿宋_GB2312" w:eastAsia="仿宋_GB2312" w:cs="仿宋_GB2312"/>
                <w:kern w:val="0"/>
                <w:sz w:val="24"/>
                <w:szCs w:val="24"/>
                <w:lang w:val="en-GB"/>
              </w:rPr>
            </w:pPr>
            <w:r>
              <w:rPr>
                <w:rFonts w:hint="eastAsia" w:ascii="仿宋_GB2312" w:hAnsi="仿宋_GB2312" w:eastAsia="仿宋_GB2312" w:cs="仿宋_GB2312"/>
                <w:kern w:val="0"/>
                <w:sz w:val="24"/>
                <w:szCs w:val="24"/>
                <w:lang w:val="en-GB"/>
              </w:rPr>
              <w:t>3.</w:t>
            </w:r>
            <w:r>
              <w:rPr>
                <w:rFonts w:hint="eastAsia" w:ascii="仿宋_GB2312" w:hAnsi="仿宋_GB2312" w:eastAsia="仿宋_GB2312" w:cs="仿宋_GB2312"/>
                <w:kern w:val="0"/>
                <w:sz w:val="24"/>
                <w:szCs w:val="24"/>
                <w:lang w:val="en-US" w:eastAsia="zh-CN"/>
              </w:rPr>
              <w:t xml:space="preserve"> 10</w:t>
            </w:r>
            <w:r>
              <w:rPr>
                <w:rFonts w:hint="eastAsia" w:ascii="仿宋_GB2312" w:hAnsi="仿宋_GB2312" w:eastAsia="仿宋_GB2312" w:cs="仿宋_GB2312"/>
                <w:kern w:val="0"/>
                <w:sz w:val="24"/>
                <w:szCs w:val="24"/>
                <w:lang w:val="en-GB"/>
              </w:rPr>
              <w:t>%＜</w:t>
            </w:r>
            <w:r>
              <w:rPr>
                <w:rFonts w:hint="eastAsia" w:ascii="仿宋_GB2312" w:hAnsi="仿宋_GB2312" w:eastAsia="仿宋_GB2312" w:cs="仿宋_GB2312"/>
                <w:kern w:val="0"/>
                <w:sz w:val="24"/>
                <w:szCs w:val="24"/>
                <w:lang w:val="en-US" w:eastAsia="zh-CN"/>
              </w:rPr>
              <w:t>异常考勤</w:t>
            </w:r>
            <w:r>
              <w:rPr>
                <w:rFonts w:hint="eastAsia" w:ascii="仿宋_GB2312" w:hAnsi="仿宋_GB2312" w:eastAsia="仿宋_GB2312" w:cs="仿宋_GB2312"/>
                <w:kern w:val="0"/>
                <w:sz w:val="24"/>
                <w:szCs w:val="24"/>
                <w:lang w:val="en-GB"/>
              </w:rPr>
              <w:t>率≤15%  中</w:t>
            </w:r>
          </w:p>
          <w:p w14:paraId="01CC09DC">
            <w:pPr>
              <w:pStyle w:val="24"/>
              <w:widowControl/>
              <w:numPr>
                <w:ilvl w:val="0"/>
                <w:numId w:val="0"/>
              </w:numPr>
              <w:spacing w:line="240" w:lineRule="auto"/>
              <w:ind w:firstLine="0"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GB"/>
              </w:rPr>
              <w:t>4.</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GB"/>
              </w:rPr>
              <w:t>15%＜</w:t>
            </w:r>
            <w:r>
              <w:rPr>
                <w:rFonts w:hint="eastAsia" w:ascii="仿宋_GB2312" w:hAnsi="仿宋_GB2312" w:eastAsia="仿宋_GB2312" w:cs="仿宋_GB2312"/>
                <w:kern w:val="0"/>
                <w:sz w:val="24"/>
                <w:szCs w:val="24"/>
                <w:lang w:val="en-US" w:eastAsia="zh-CN"/>
              </w:rPr>
              <w:t>异常考勤</w:t>
            </w:r>
            <w:r>
              <w:rPr>
                <w:rFonts w:hint="eastAsia" w:ascii="仿宋_GB2312" w:hAnsi="仿宋_GB2312" w:eastAsia="仿宋_GB2312" w:cs="仿宋_GB2312"/>
                <w:kern w:val="0"/>
                <w:sz w:val="24"/>
                <w:szCs w:val="24"/>
                <w:lang w:val="en-GB"/>
              </w:rPr>
              <w:t>率       差</w:t>
            </w:r>
          </w:p>
        </w:tc>
        <w:tc>
          <w:tcPr>
            <w:tcW w:w="520" w:type="pct"/>
            <w:noWrap w:val="0"/>
            <w:vAlign w:val="center"/>
          </w:tcPr>
          <w:p w14:paraId="30BDDF3E">
            <w:pPr>
              <w:pStyle w:val="24"/>
              <w:widowControl/>
              <w:spacing w:line="240" w:lineRule="auto"/>
              <w:ind w:firstLine="0" w:firstLineChars="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r>
    </w:tbl>
    <w:p w14:paraId="131D7549">
      <w:pPr>
        <w:pStyle w:val="37"/>
        <w:spacing w:afterLines="0" w:line="560" w:lineRule="exact"/>
        <w:ind w:firstLine="640" w:firstLineChars="200"/>
        <w:rPr>
          <w:rFonts w:hint="eastAsia" w:eastAsia="仿宋_GB2312" w:cs="Times New Roman"/>
          <w:sz w:val="32"/>
          <w:szCs w:val="28"/>
          <w:highlight w:val="none"/>
        </w:rPr>
      </w:pPr>
      <w:r>
        <w:rPr>
          <w:rFonts w:hint="eastAsia" w:eastAsia="仿宋_GB2312" w:cs="Times New Roman"/>
          <w:sz w:val="32"/>
          <w:szCs w:val="28"/>
          <w:highlight w:val="none"/>
        </w:rPr>
        <w:t xml:space="preserve">根据SLA最后得分情况，划分为四个等级： </w:t>
      </w:r>
    </w:p>
    <w:p w14:paraId="3B1B2956">
      <w:pPr>
        <w:pStyle w:val="37"/>
        <w:spacing w:afterLines="0" w:line="560" w:lineRule="exact"/>
        <w:ind w:firstLine="640" w:firstLineChars="200"/>
        <w:rPr>
          <w:rFonts w:hint="eastAsia" w:eastAsia="仿宋_GB2312" w:cs="Times New Roman"/>
          <w:sz w:val="32"/>
          <w:szCs w:val="28"/>
          <w:highlight w:val="none"/>
          <w:lang w:eastAsia="zh-CN"/>
        </w:rPr>
      </w:pPr>
      <w:r>
        <w:rPr>
          <w:rFonts w:hint="eastAsia" w:eastAsia="仿宋_GB2312" w:cs="Times New Roman"/>
          <w:sz w:val="32"/>
          <w:szCs w:val="28"/>
          <w:highlight w:val="none"/>
        </w:rPr>
        <w:t>SLA&gt;=95的为优</w:t>
      </w:r>
      <w:r>
        <w:rPr>
          <w:rFonts w:hint="eastAsia" w:eastAsia="仿宋_GB2312" w:cs="Times New Roman"/>
          <w:sz w:val="32"/>
          <w:szCs w:val="28"/>
          <w:highlight w:val="none"/>
          <w:lang w:eastAsia="zh-CN"/>
        </w:rPr>
        <w:t>；</w:t>
      </w:r>
    </w:p>
    <w:p w14:paraId="48A8F5A0">
      <w:pPr>
        <w:pStyle w:val="37"/>
        <w:spacing w:afterLines="0" w:line="560" w:lineRule="exact"/>
        <w:ind w:firstLine="640" w:firstLineChars="200"/>
        <w:rPr>
          <w:rFonts w:hint="eastAsia" w:eastAsia="仿宋_GB2312" w:cs="Times New Roman"/>
          <w:sz w:val="32"/>
          <w:szCs w:val="28"/>
          <w:highlight w:val="none"/>
          <w:lang w:eastAsia="zh-CN"/>
        </w:rPr>
      </w:pPr>
      <w:r>
        <w:rPr>
          <w:rFonts w:hint="eastAsia" w:eastAsia="仿宋_GB2312" w:cs="Times New Roman"/>
          <w:sz w:val="32"/>
          <w:szCs w:val="28"/>
          <w:highlight w:val="none"/>
        </w:rPr>
        <w:t>SLA在80-95的为良</w:t>
      </w:r>
      <w:r>
        <w:rPr>
          <w:rFonts w:hint="eastAsia" w:eastAsia="仿宋_GB2312" w:cs="Times New Roman"/>
          <w:sz w:val="32"/>
          <w:szCs w:val="28"/>
          <w:highlight w:val="none"/>
          <w:lang w:eastAsia="zh-CN"/>
        </w:rPr>
        <w:t>；</w:t>
      </w:r>
    </w:p>
    <w:p w14:paraId="7523D29B">
      <w:pPr>
        <w:pStyle w:val="37"/>
        <w:spacing w:afterLines="0" w:line="560" w:lineRule="exact"/>
        <w:ind w:firstLine="640" w:firstLineChars="200"/>
        <w:rPr>
          <w:rFonts w:hint="eastAsia" w:eastAsia="仿宋_GB2312" w:cs="Times New Roman"/>
          <w:sz w:val="32"/>
          <w:szCs w:val="28"/>
          <w:highlight w:val="none"/>
          <w:lang w:eastAsia="zh-CN"/>
        </w:rPr>
      </w:pPr>
      <w:r>
        <w:rPr>
          <w:rFonts w:hint="eastAsia" w:eastAsia="仿宋_GB2312" w:cs="Times New Roman"/>
          <w:sz w:val="32"/>
          <w:szCs w:val="28"/>
          <w:highlight w:val="none"/>
        </w:rPr>
        <w:t>SLA在60-80的为中</w:t>
      </w:r>
      <w:r>
        <w:rPr>
          <w:rFonts w:hint="eastAsia" w:eastAsia="仿宋_GB2312" w:cs="Times New Roman"/>
          <w:sz w:val="32"/>
          <w:szCs w:val="28"/>
          <w:highlight w:val="none"/>
          <w:lang w:eastAsia="zh-CN"/>
        </w:rPr>
        <w:t>；</w:t>
      </w:r>
    </w:p>
    <w:p w14:paraId="4D7B2A84">
      <w:pPr>
        <w:keepLines w:val="0"/>
        <w:pageBreakBefore w:val="0"/>
        <w:numPr>
          <w:ilvl w:val="0"/>
          <w:numId w:val="0"/>
        </w:numPr>
        <w:kinsoku/>
        <w:overflowPunct/>
        <w:topLinePunct w:val="0"/>
        <w:autoSpaceDE/>
        <w:autoSpaceDN/>
        <w:bidi w:val="0"/>
        <w:adjustRightInd/>
        <w:snapToGrid/>
        <w:spacing w:line="560" w:lineRule="exact"/>
        <w:ind w:left="630" w:leftChars="0"/>
        <w:jc w:val="both"/>
        <w:textAlignment w:val="auto"/>
        <w:rPr>
          <w:rFonts w:hint="eastAsia" w:eastAsia="仿宋_GB2312" w:cs="Times New Roman"/>
          <w:sz w:val="32"/>
          <w:szCs w:val="28"/>
          <w:highlight w:val="none"/>
          <w:lang w:eastAsia="zh-CN"/>
        </w:rPr>
      </w:pPr>
      <w:r>
        <w:rPr>
          <w:rFonts w:hint="eastAsia" w:eastAsia="仿宋_GB2312" w:cs="Times New Roman"/>
          <w:sz w:val="32"/>
          <w:szCs w:val="28"/>
          <w:highlight w:val="none"/>
        </w:rPr>
        <w:t>SLA&lt;60的为差</w:t>
      </w:r>
      <w:r>
        <w:rPr>
          <w:rFonts w:hint="eastAsia" w:eastAsia="仿宋_GB2312" w:cs="Times New Roman"/>
          <w:sz w:val="32"/>
          <w:szCs w:val="28"/>
          <w:highlight w:val="none"/>
          <w:lang w:eastAsia="zh-CN"/>
        </w:rPr>
        <w:t>。</w:t>
      </w:r>
    </w:p>
    <w:p w14:paraId="3CF24493">
      <w:pPr>
        <w:pageBreakBefore w:val="0"/>
        <w:kinsoku/>
        <w:overflowPunct/>
        <w:topLinePunct w:val="0"/>
        <w:autoSpaceDE/>
        <w:autoSpaceDN/>
        <w:bidi w:val="0"/>
        <w:adjustRightInd w:val="0"/>
        <w:snapToGrid/>
        <w:spacing w:beforeLines="0" w:afterLines="0" w:line="560" w:lineRule="exact"/>
        <w:ind w:firstLine="640" w:firstLineChars="200"/>
        <w:textAlignment w:val="baseline"/>
        <w:rPr>
          <w:rFonts w:hint="eastAsia" w:ascii="楷体_GB2312" w:hAnsi="楷体_GB2312" w:eastAsia="楷体_GB2312" w:cs="楷体_GB2312"/>
          <w:color w:val="auto"/>
          <w:sz w:val="32"/>
          <w:szCs w:val="22"/>
          <w:lang w:val="en-US" w:eastAsia="zh-CN"/>
        </w:rPr>
      </w:pPr>
      <w:bookmarkStart w:id="20" w:name="_Toc7716"/>
      <w:r>
        <w:rPr>
          <w:rFonts w:hint="eastAsia" w:ascii="楷体_GB2312" w:hAnsi="楷体_GB2312" w:eastAsia="楷体_GB2312" w:cs="楷体_GB2312"/>
          <w:color w:val="auto"/>
          <w:sz w:val="32"/>
          <w:szCs w:val="22"/>
          <w:lang w:val="en-US" w:eastAsia="zh-CN"/>
        </w:rPr>
        <w:t>（三）违约责任</w:t>
      </w:r>
      <w:bookmarkEnd w:id="20"/>
    </w:p>
    <w:p w14:paraId="2D5090A0">
      <w:pPr>
        <w:pageBreakBefore w:val="0"/>
        <w:kinsoku/>
        <w:overflowPunct/>
        <w:topLinePunct w:val="0"/>
        <w:autoSpaceDE/>
        <w:autoSpaceDN/>
        <w:bidi w:val="0"/>
        <w:adjustRightInd/>
        <w:snapToGrid/>
        <w:spacing w:beforeLines="0" w:afterLines="0" w:line="24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1.乙方在合同签署后，</w:t>
      </w:r>
      <w:r>
        <w:rPr>
          <w:rFonts w:hint="eastAsia" w:ascii="仿宋_GB2312" w:hAnsi="仿宋_GB2312" w:eastAsia="仿宋_GB2312" w:cs="仿宋_GB2312"/>
          <w:b w:val="0"/>
          <w:bCs w:val="0"/>
          <w:sz w:val="32"/>
          <w:szCs w:val="32"/>
          <w:highlight w:val="none"/>
          <w:lang w:val="en-US" w:eastAsia="zh-CN"/>
        </w:rPr>
        <w:t>需要</w:t>
      </w:r>
      <w:r>
        <w:rPr>
          <w:rFonts w:hint="eastAsia" w:ascii="仿宋_GB2312" w:hAnsi="仿宋_GB2312" w:eastAsia="仿宋_GB2312" w:cs="仿宋_GB2312"/>
          <w:sz w:val="32"/>
          <w:szCs w:val="32"/>
          <w:highlight w:val="none"/>
          <w:lang w:val="en-US" w:eastAsia="zh-CN"/>
        </w:rPr>
        <w:t>按项目计划完成投产上线</w:t>
      </w:r>
      <w:r>
        <w:rPr>
          <w:rFonts w:hint="eastAsia" w:ascii="仿宋_GB2312" w:hAnsi="仿宋_GB2312" w:eastAsia="仿宋_GB2312" w:cs="仿宋_GB2312"/>
          <w:b w:val="0"/>
          <w:bCs w:val="0"/>
          <w:sz w:val="32"/>
          <w:szCs w:val="32"/>
          <w:highlight w:val="none"/>
          <w:lang w:val="en-US" w:eastAsia="zh-CN"/>
        </w:rPr>
        <w:t>。如因乙方原因导致未能按期投产上线，将按照</w:t>
      </w:r>
      <w:r>
        <w:rPr>
          <w:rFonts w:hint="eastAsia" w:ascii="仿宋_GB2312" w:hAnsi="仿宋_GB2312" w:eastAsia="仿宋_GB2312" w:cs="仿宋_GB2312"/>
          <w:sz w:val="32"/>
          <w:szCs w:val="32"/>
          <w:highlight w:val="none"/>
        </w:rPr>
        <w:t>每逾期一（1）周（不足一周的按比例计算），</w:t>
      </w:r>
      <w:r>
        <w:rPr>
          <w:rFonts w:hint="eastAsia" w:ascii="仿宋_GB2312" w:hAnsi="仿宋_GB2312" w:eastAsia="仿宋_GB2312" w:cs="仿宋_GB2312"/>
          <w:sz w:val="32"/>
          <w:szCs w:val="32"/>
          <w:highlight w:val="none"/>
          <w:lang w:val="en-US" w:eastAsia="zh-CN"/>
        </w:rPr>
        <w:t>扣除</w:t>
      </w:r>
      <w:r>
        <w:rPr>
          <w:rFonts w:hint="eastAsia" w:ascii="仿宋_GB2312" w:hAnsi="仿宋_GB2312" w:eastAsia="仿宋_GB2312" w:cs="仿宋_GB2312"/>
          <w:sz w:val="32"/>
          <w:szCs w:val="32"/>
          <w:highlight w:val="none"/>
        </w:rPr>
        <w:t>“合同价款”的千分之</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sz w:val="32"/>
          <w:szCs w:val="32"/>
          <w:highlight w:val="none"/>
          <w:lang w:val="en-US" w:eastAsia="zh-CN"/>
        </w:rPr>
        <w:t>，上限百分之三十。</w:t>
      </w:r>
    </w:p>
    <w:p w14:paraId="636B297B">
      <w:pPr>
        <w:pStyle w:val="37"/>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2.SLA考核的罚则。</w:t>
      </w:r>
    </w:p>
    <w:p w14:paraId="68550E46">
      <w:pPr>
        <w:pStyle w:val="37"/>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28"/>
          <w:highlight w:val="none"/>
        </w:rPr>
        <w:t>SLA考核为良：约谈公司高管，提出服务质量保障具体措施并限期落实；</w:t>
      </w:r>
    </w:p>
    <w:p w14:paraId="5FB7D4A7">
      <w:pPr>
        <w:pStyle w:val="37"/>
        <w:keepNext w:val="0"/>
        <w:keepLines w:val="0"/>
        <w:pageBreakBefore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28"/>
          <w:highlight w:val="none"/>
        </w:rPr>
        <w:t>SLA考核为中：约谈公司高管，提出服务质量保障具体措施并限期落实，从本次付款起每期付款顺次延迟半年支付，如有多次延迟的，延迟期限叠加。</w:t>
      </w:r>
    </w:p>
    <w:p w14:paraId="4B41A330">
      <w:pPr>
        <w:spacing w:beforeLines="0" w:afterLines="0" w:line="240" w:lineRule="auto"/>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28"/>
          <w:highlight w:val="none"/>
        </w:rPr>
        <w:t>SLA 考核为差：约谈公司高管，提出服务质量保障具体措施并限期落实，暂停本次及以后各期款项支付，直至下次考核时服务质量达到中级以上，接续按以上标准执行。</w:t>
      </w:r>
      <w:r>
        <w:rPr>
          <w:rFonts w:hint="eastAsia" w:ascii="仿宋_GB2312" w:hAnsi="仿宋_GB2312" w:eastAsia="仿宋_GB2312" w:cs="仿宋_GB2312"/>
          <w:sz w:val="32"/>
          <w:szCs w:val="28"/>
          <w:highlight w:val="none"/>
          <w:lang w:val="en-US" w:eastAsia="zh-CN"/>
        </w:rPr>
        <w:t>如已是最后一次验收，则扣除</w:t>
      </w:r>
      <w:r>
        <w:rPr>
          <w:rFonts w:hint="eastAsia" w:ascii="仿宋_GB2312" w:hAnsi="仿宋_GB2312" w:eastAsia="仿宋_GB2312" w:cs="仿宋_GB2312"/>
          <w:sz w:val="32"/>
          <w:szCs w:val="32"/>
          <w:highlight w:val="none"/>
        </w:rPr>
        <w:t>“合同价款”的</w:t>
      </w:r>
      <w:r>
        <w:rPr>
          <w:rFonts w:hint="eastAsia" w:ascii="仿宋_GB2312" w:hAnsi="仿宋_GB2312" w:eastAsia="仿宋_GB2312" w:cs="仿宋_GB2312"/>
          <w:sz w:val="32"/>
          <w:szCs w:val="32"/>
          <w:highlight w:val="none"/>
          <w:lang w:val="en-US" w:eastAsia="zh-CN"/>
        </w:rPr>
        <w:t>百</w:t>
      </w:r>
      <w:r>
        <w:rPr>
          <w:rFonts w:hint="eastAsia" w:ascii="仿宋_GB2312" w:hAnsi="仿宋_GB2312" w:eastAsia="仿宋_GB2312" w:cs="仿宋_GB2312"/>
          <w:sz w:val="32"/>
          <w:szCs w:val="32"/>
          <w:highlight w:val="none"/>
        </w:rPr>
        <w:t>分之</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60017B6F">
      <w:pPr>
        <w:pageBreakBefore w:val="0"/>
        <w:kinsoku/>
        <w:overflowPunct/>
        <w:topLinePunct w:val="0"/>
        <w:autoSpaceDE/>
        <w:autoSpaceDN/>
        <w:bidi w:val="0"/>
        <w:adjustRightInd w:val="0"/>
        <w:snapToGrid/>
        <w:spacing w:beforeLines="0" w:afterLines="0" w:line="560" w:lineRule="exact"/>
        <w:ind w:firstLine="640" w:firstLineChars="200"/>
        <w:textAlignment w:val="baseline"/>
        <w:outlineLvl w:val="0"/>
        <w:rPr>
          <w:rFonts w:hint="eastAsia" w:ascii="Times New Roman" w:hAnsi="Times New Roman" w:eastAsia="黑体" w:cs="Times New Roman"/>
          <w:b w:val="0"/>
          <w:bCs w:val="0"/>
          <w:color w:val="auto"/>
          <w:sz w:val="32"/>
          <w:lang w:val="en-US" w:eastAsia="zh-CN"/>
        </w:rPr>
      </w:pPr>
      <w:bookmarkStart w:id="21" w:name="_Toc12903"/>
      <w:r>
        <w:rPr>
          <w:rFonts w:hint="eastAsia" w:ascii="Times New Roman" w:hAnsi="Times New Roman" w:eastAsia="黑体" w:cs="Times New Roman"/>
          <w:b w:val="0"/>
          <w:bCs w:val="0"/>
          <w:color w:val="auto"/>
          <w:sz w:val="32"/>
          <w:lang w:val="en-US" w:eastAsia="zh-CN"/>
        </w:rPr>
        <w:fldChar w:fldCharType="begin"/>
      </w:r>
      <w:r>
        <w:rPr>
          <w:rFonts w:hint="eastAsia" w:ascii="Times New Roman" w:hAnsi="Times New Roman" w:eastAsia="黑体" w:cs="Times New Roman"/>
          <w:b w:val="0"/>
          <w:bCs w:val="0"/>
          <w:color w:val="auto"/>
          <w:sz w:val="32"/>
          <w:lang w:val="en-US" w:eastAsia="zh-CN"/>
        </w:rPr>
        <w:instrText xml:space="preserve"> HYPERLINK \l _Toc15097 </w:instrText>
      </w:r>
      <w:r>
        <w:rPr>
          <w:rFonts w:hint="eastAsia" w:ascii="Times New Roman" w:hAnsi="Times New Roman" w:eastAsia="黑体" w:cs="Times New Roman"/>
          <w:b w:val="0"/>
          <w:bCs w:val="0"/>
          <w:color w:val="auto"/>
          <w:sz w:val="32"/>
          <w:lang w:val="en-US" w:eastAsia="zh-CN"/>
        </w:rPr>
        <w:fldChar w:fldCharType="separate"/>
      </w:r>
      <w:r>
        <w:rPr>
          <w:rFonts w:hint="eastAsia" w:ascii="Times New Roman" w:hAnsi="Times New Roman" w:eastAsia="黑体" w:cs="Times New Roman"/>
          <w:b w:val="0"/>
          <w:bCs w:val="0"/>
          <w:color w:val="auto"/>
          <w:sz w:val="32"/>
          <w:lang w:val="en-US" w:eastAsia="zh-CN"/>
        </w:rPr>
        <w:t>十一、投标资质要求</w:t>
      </w:r>
      <w:r>
        <w:rPr>
          <w:rFonts w:hint="eastAsia" w:ascii="Times New Roman" w:hAnsi="Times New Roman" w:eastAsia="黑体" w:cs="Times New Roman"/>
          <w:b w:val="0"/>
          <w:bCs w:val="0"/>
          <w:color w:val="auto"/>
          <w:sz w:val="32"/>
          <w:lang w:val="en-US" w:eastAsia="zh-CN"/>
        </w:rPr>
        <w:fldChar w:fldCharType="end"/>
      </w:r>
      <w:bookmarkEnd w:id="21"/>
    </w:p>
    <w:p w14:paraId="281DC76F">
      <w:pPr>
        <w:keepLines w:val="0"/>
        <w:pageBreakBefore w:val="0"/>
        <w:numPr>
          <w:ilvl w:val="0"/>
          <w:numId w:val="0"/>
        </w:numPr>
        <w:kinsoku/>
        <w:overflowPunct/>
        <w:topLinePunct w:val="0"/>
        <w:autoSpaceDE/>
        <w:autoSpaceDN/>
        <w:bidi w:val="0"/>
        <w:adjustRightInd/>
        <w:snapToGrid/>
        <w:spacing w:line="560" w:lineRule="exact"/>
        <w:ind w:left="630" w:leftChars="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76F17E89">
      <w:pPr>
        <w:pageBreakBefore w:val="0"/>
        <w:kinsoku/>
        <w:overflowPunct/>
        <w:topLinePunct w:val="0"/>
        <w:autoSpaceDE/>
        <w:autoSpaceDN/>
        <w:bidi w:val="0"/>
        <w:adjustRightInd w:val="0"/>
        <w:snapToGrid/>
        <w:spacing w:beforeLines="0" w:afterLines="0" w:line="560" w:lineRule="exact"/>
        <w:ind w:firstLine="640" w:firstLineChars="200"/>
        <w:textAlignment w:val="baseline"/>
        <w:outlineLvl w:val="0"/>
        <w:rPr>
          <w:rFonts w:hint="eastAsia" w:ascii="Times New Roman" w:hAnsi="Times New Roman" w:eastAsia="黑体" w:cs="Times New Roman"/>
          <w:b w:val="0"/>
          <w:bCs w:val="0"/>
          <w:color w:val="auto"/>
          <w:sz w:val="32"/>
          <w:lang w:val="en-US" w:eastAsia="zh-CN"/>
        </w:rPr>
      </w:pPr>
      <w:bookmarkStart w:id="22" w:name="_Toc22871"/>
      <w:r>
        <w:rPr>
          <w:rFonts w:hint="eastAsia" w:ascii="Times New Roman" w:hAnsi="Times New Roman" w:eastAsia="黑体" w:cs="Times New Roman"/>
          <w:b w:val="0"/>
          <w:bCs w:val="0"/>
          <w:color w:val="auto"/>
          <w:sz w:val="32"/>
          <w:lang w:val="en-US" w:eastAsia="zh-CN"/>
        </w:rPr>
        <w:fldChar w:fldCharType="begin"/>
      </w:r>
      <w:r>
        <w:rPr>
          <w:rFonts w:hint="eastAsia" w:ascii="Times New Roman" w:hAnsi="Times New Roman" w:eastAsia="黑体" w:cs="Times New Roman"/>
          <w:b w:val="0"/>
          <w:bCs w:val="0"/>
          <w:color w:val="auto"/>
          <w:sz w:val="32"/>
          <w:lang w:val="en-US" w:eastAsia="zh-CN"/>
        </w:rPr>
        <w:instrText xml:space="preserve"> HYPERLINK \l _Toc6280 </w:instrText>
      </w:r>
      <w:r>
        <w:rPr>
          <w:rFonts w:hint="eastAsia" w:ascii="Times New Roman" w:hAnsi="Times New Roman" w:eastAsia="黑体" w:cs="Times New Roman"/>
          <w:b w:val="0"/>
          <w:bCs w:val="0"/>
          <w:color w:val="auto"/>
          <w:sz w:val="32"/>
          <w:lang w:val="en-US" w:eastAsia="zh-CN"/>
        </w:rPr>
        <w:fldChar w:fldCharType="separate"/>
      </w:r>
      <w:r>
        <w:rPr>
          <w:rFonts w:hint="eastAsia" w:ascii="Times New Roman" w:hAnsi="Times New Roman" w:eastAsia="黑体" w:cs="Times New Roman"/>
          <w:b w:val="0"/>
          <w:bCs w:val="0"/>
          <w:color w:val="auto"/>
          <w:sz w:val="32"/>
          <w:lang w:val="en-US" w:eastAsia="zh-CN"/>
        </w:rPr>
        <w:t>十二、投标人及产品的技术、能力、认证等相关证书</w:t>
      </w:r>
      <w:r>
        <w:rPr>
          <w:rFonts w:hint="eastAsia" w:ascii="Times New Roman" w:hAnsi="Times New Roman" w:eastAsia="黑体" w:cs="Times New Roman"/>
          <w:b w:val="0"/>
          <w:bCs w:val="0"/>
          <w:color w:val="auto"/>
          <w:sz w:val="32"/>
          <w:lang w:val="en-US" w:eastAsia="zh-CN"/>
        </w:rPr>
        <w:fldChar w:fldCharType="end"/>
      </w:r>
      <w:bookmarkEnd w:id="22"/>
    </w:p>
    <w:p w14:paraId="24864CC2">
      <w:pPr>
        <w:spacing w:line="360" w:lineRule="auto"/>
        <w:rPr>
          <w:rFonts w:eastAsia="宋体"/>
          <w:sz w:val="24"/>
        </w:rPr>
      </w:pPr>
      <w:r>
        <w:rPr>
          <w:rFonts w:hint="eastAsia" w:ascii="仿宋_GB2312" w:hAnsi="仿宋_GB2312" w:eastAsia="仿宋_GB2312" w:cs="仿宋_GB2312"/>
          <w:color w:val="auto"/>
          <w:sz w:val="32"/>
          <w:szCs w:val="32"/>
          <w:lang w:val="en-US" w:eastAsia="zh-CN"/>
        </w:rPr>
        <w:t>无。</w:t>
      </w:r>
    </w:p>
    <w:p w14:paraId="2FAA647D">
      <w:pPr>
        <w:widowControl/>
        <w:snapToGrid w:val="0"/>
        <w:spacing w:line="300" w:lineRule="auto"/>
        <w:jc w:val="left"/>
        <w:rPr>
          <w:rFonts w:ascii="仿宋" w:hAnsi="仿宋" w:eastAsia="仿宋" w:cs="Arial"/>
          <w:sz w:val="24"/>
          <w:szCs w:val="30"/>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ejaVu Sans">
    <w:altName w:val="Sylfaen"/>
    <w:panose1 w:val="00000000000000000000"/>
    <w:charset w:val="00"/>
    <w:family w:val="auto"/>
    <w:pitch w:val="default"/>
    <w:sig w:usb0="00000000" w:usb1="00000000" w:usb2="0A246029" w:usb3="0400200C" w:csb0="600001FF" w:csb1="DFFF0000"/>
  </w:font>
  <w:font w:name="Sylfaen">
    <w:panose1 w:val="010A0502050306030303"/>
    <w:charset w:val="00"/>
    <w:family w:val="auto"/>
    <w:pitch w:val="default"/>
    <w:sig w:usb0="04000687" w:usb1="00000000" w:usb2="00000000" w:usb3="00000000" w:csb0="2000009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116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D41C67">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7DD41C6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B8A3">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FBD84">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CFBD84">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8544">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45B1">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33D7F">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11C9">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7BA9">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1">
    <w:nsid w:val="C484F922"/>
    <w:multiLevelType w:val="singleLevel"/>
    <w:tmpl w:val="C484F922"/>
    <w:lvl w:ilvl="0" w:tentative="0">
      <w:start w:val="2"/>
      <w:numFmt w:val="chineseCounting"/>
      <w:suff w:val="nothing"/>
      <w:lvlText w:val="（%1）"/>
      <w:lvlJc w:val="left"/>
      <w:rPr>
        <w:rFonts w:hint="eastAsia"/>
      </w:rPr>
    </w:lvl>
  </w:abstractNum>
  <w:abstractNum w:abstractNumId="2">
    <w:nsid w:val="FB123A50"/>
    <w:multiLevelType w:val="singleLevel"/>
    <w:tmpl w:val="FB123A50"/>
    <w:lvl w:ilvl="0" w:tentative="0">
      <w:start w:val="9"/>
      <w:numFmt w:val="chineseCounting"/>
      <w:suff w:val="nothing"/>
      <w:lvlText w:val="%1、"/>
      <w:lvlJc w:val="left"/>
      <w:rPr>
        <w:rFonts w:hint="eastAsia"/>
      </w:rPr>
    </w:lvl>
  </w:abstractNum>
  <w:abstractNum w:abstractNumId="3">
    <w:nsid w:val="00000004"/>
    <w:multiLevelType w:val="singleLevel"/>
    <w:tmpl w:val="00000004"/>
    <w:lvl w:ilvl="0" w:tentative="0">
      <w:start w:val="1"/>
      <w:numFmt w:val="decimal"/>
      <w:pStyle w:val="35"/>
      <w:suff w:val="space"/>
      <w:lvlText w:val="%1."/>
      <w:lvlJc w:val="left"/>
      <w:pPr>
        <w:ind w:left="0" w:firstLine="0"/>
      </w:pPr>
      <w:rPr>
        <w:rFonts w:hint="default" w:ascii="宋体" w:hAnsi="宋体" w:eastAsia="宋体"/>
        <w:b w:val="0"/>
        <w:i w:val="0"/>
        <w:sz w:val="24"/>
        <w:szCs w:val="24"/>
      </w:rPr>
    </w:lvl>
  </w:abstractNum>
  <w:abstractNum w:abstractNumId="4">
    <w:nsid w:val="4F3B93A5"/>
    <w:multiLevelType w:val="singleLevel"/>
    <w:tmpl w:val="4F3B93A5"/>
    <w:lvl w:ilvl="0" w:tentative="0">
      <w:start w:val="3"/>
      <w:numFmt w:val="chineseCounting"/>
      <w:suff w:val="nothing"/>
      <w:lvlText w:val="%1、"/>
      <w:lvlJc w:val="left"/>
      <w:rPr>
        <w:rFonts w:hint="eastAsia"/>
      </w:rPr>
    </w:lvl>
  </w:abstractNum>
  <w:abstractNum w:abstractNumId="5">
    <w:nsid w:val="58599E33"/>
    <w:multiLevelType w:val="singleLevel"/>
    <w:tmpl w:val="58599E33"/>
    <w:lvl w:ilvl="0" w:tentative="0">
      <w:start w:val="3"/>
      <w:numFmt w:val="decimal"/>
      <w:suff w:val="nothing"/>
      <w:lvlText w:val="（%1）"/>
      <w:lvlJc w:val="left"/>
    </w:lvl>
  </w:abstractNum>
  <w:abstractNum w:abstractNumId="6">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NjY2MzNjMzgxYmYwYjMwYmU4OWY3ZTJmNDhhZmEifQ=="/>
  </w:docVars>
  <w:rsids>
    <w:rsidRoot w:val="00A35F43"/>
    <w:rsid w:val="00002A0A"/>
    <w:rsid w:val="0002122A"/>
    <w:rsid w:val="000354FF"/>
    <w:rsid w:val="00084900"/>
    <w:rsid w:val="00090D3B"/>
    <w:rsid w:val="0009437A"/>
    <w:rsid w:val="00095EE3"/>
    <w:rsid w:val="000A0227"/>
    <w:rsid w:val="000A35C5"/>
    <w:rsid w:val="000B07E5"/>
    <w:rsid w:val="000B4805"/>
    <w:rsid w:val="000B5AFA"/>
    <w:rsid w:val="000D06E0"/>
    <w:rsid w:val="000E480A"/>
    <w:rsid w:val="0011110F"/>
    <w:rsid w:val="001626E6"/>
    <w:rsid w:val="00185E7E"/>
    <w:rsid w:val="001B39E2"/>
    <w:rsid w:val="001E6E91"/>
    <w:rsid w:val="001F23FE"/>
    <w:rsid w:val="001F44A5"/>
    <w:rsid w:val="00207EAF"/>
    <w:rsid w:val="00244E66"/>
    <w:rsid w:val="0024575A"/>
    <w:rsid w:val="00255645"/>
    <w:rsid w:val="0028265C"/>
    <w:rsid w:val="002865D3"/>
    <w:rsid w:val="0028674A"/>
    <w:rsid w:val="00287A2C"/>
    <w:rsid w:val="002A317A"/>
    <w:rsid w:val="002B1115"/>
    <w:rsid w:val="002B1E09"/>
    <w:rsid w:val="002C12DC"/>
    <w:rsid w:val="002F57BA"/>
    <w:rsid w:val="002F7D73"/>
    <w:rsid w:val="003238BF"/>
    <w:rsid w:val="0034519A"/>
    <w:rsid w:val="00364071"/>
    <w:rsid w:val="003708E7"/>
    <w:rsid w:val="00373F63"/>
    <w:rsid w:val="00385749"/>
    <w:rsid w:val="00392C48"/>
    <w:rsid w:val="003D3E6D"/>
    <w:rsid w:val="003E3A75"/>
    <w:rsid w:val="003F07FF"/>
    <w:rsid w:val="00416668"/>
    <w:rsid w:val="004260DD"/>
    <w:rsid w:val="00442089"/>
    <w:rsid w:val="00445A61"/>
    <w:rsid w:val="0045168C"/>
    <w:rsid w:val="00481C2E"/>
    <w:rsid w:val="0048686D"/>
    <w:rsid w:val="004C4104"/>
    <w:rsid w:val="00503A03"/>
    <w:rsid w:val="0051036C"/>
    <w:rsid w:val="00515044"/>
    <w:rsid w:val="00525F59"/>
    <w:rsid w:val="00545B71"/>
    <w:rsid w:val="0057047F"/>
    <w:rsid w:val="005717AA"/>
    <w:rsid w:val="005727F5"/>
    <w:rsid w:val="00577BE8"/>
    <w:rsid w:val="005B2579"/>
    <w:rsid w:val="005D5516"/>
    <w:rsid w:val="00601E68"/>
    <w:rsid w:val="0061186E"/>
    <w:rsid w:val="00633967"/>
    <w:rsid w:val="00635CD7"/>
    <w:rsid w:val="00642A4E"/>
    <w:rsid w:val="00661354"/>
    <w:rsid w:val="00687AD4"/>
    <w:rsid w:val="006936BC"/>
    <w:rsid w:val="006B6F5C"/>
    <w:rsid w:val="006B79B8"/>
    <w:rsid w:val="006C5208"/>
    <w:rsid w:val="00705C6D"/>
    <w:rsid w:val="00705CD5"/>
    <w:rsid w:val="00723C17"/>
    <w:rsid w:val="00726FC6"/>
    <w:rsid w:val="007605D7"/>
    <w:rsid w:val="007E76C2"/>
    <w:rsid w:val="007F6477"/>
    <w:rsid w:val="008F1AD1"/>
    <w:rsid w:val="008F6B24"/>
    <w:rsid w:val="00903759"/>
    <w:rsid w:val="00916131"/>
    <w:rsid w:val="00917CB3"/>
    <w:rsid w:val="00936C99"/>
    <w:rsid w:val="0094678F"/>
    <w:rsid w:val="00957C9F"/>
    <w:rsid w:val="00966A12"/>
    <w:rsid w:val="00976CF2"/>
    <w:rsid w:val="009807A7"/>
    <w:rsid w:val="00995971"/>
    <w:rsid w:val="009A3EA5"/>
    <w:rsid w:val="009A65B2"/>
    <w:rsid w:val="009C120E"/>
    <w:rsid w:val="009D4C8C"/>
    <w:rsid w:val="009E746C"/>
    <w:rsid w:val="009F71CD"/>
    <w:rsid w:val="009F7907"/>
    <w:rsid w:val="00A0618F"/>
    <w:rsid w:val="00A22A0C"/>
    <w:rsid w:val="00A35F43"/>
    <w:rsid w:val="00A52C7F"/>
    <w:rsid w:val="00A863FA"/>
    <w:rsid w:val="00AA3585"/>
    <w:rsid w:val="00AC5AD5"/>
    <w:rsid w:val="00AD37C3"/>
    <w:rsid w:val="00AE695B"/>
    <w:rsid w:val="00AF0452"/>
    <w:rsid w:val="00AF6605"/>
    <w:rsid w:val="00B026D8"/>
    <w:rsid w:val="00B256FC"/>
    <w:rsid w:val="00B265EF"/>
    <w:rsid w:val="00B54ACD"/>
    <w:rsid w:val="00B553D2"/>
    <w:rsid w:val="00B563B3"/>
    <w:rsid w:val="00B62840"/>
    <w:rsid w:val="00B73D2A"/>
    <w:rsid w:val="00B76B8C"/>
    <w:rsid w:val="00B8253F"/>
    <w:rsid w:val="00B867F6"/>
    <w:rsid w:val="00BC58EC"/>
    <w:rsid w:val="00BD04E8"/>
    <w:rsid w:val="00BD7182"/>
    <w:rsid w:val="00C02F73"/>
    <w:rsid w:val="00C075F2"/>
    <w:rsid w:val="00C105EB"/>
    <w:rsid w:val="00C15625"/>
    <w:rsid w:val="00C668DB"/>
    <w:rsid w:val="00C6734C"/>
    <w:rsid w:val="00C92370"/>
    <w:rsid w:val="00C96B49"/>
    <w:rsid w:val="00CB649A"/>
    <w:rsid w:val="00CF3DA4"/>
    <w:rsid w:val="00D1017C"/>
    <w:rsid w:val="00D31011"/>
    <w:rsid w:val="00D43794"/>
    <w:rsid w:val="00D47138"/>
    <w:rsid w:val="00DA4C6D"/>
    <w:rsid w:val="00DB562C"/>
    <w:rsid w:val="00E27AF6"/>
    <w:rsid w:val="00E306F5"/>
    <w:rsid w:val="00E334C5"/>
    <w:rsid w:val="00E35082"/>
    <w:rsid w:val="00E673E4"/>
    <w:rsid w:val="00E756DC"/>
    <w:rsid w:val="00E82989"/>
    <w:rsid w:val="00EA3FF9"/>
    <w:rsid w:val="00EE3EAD"/>
    <w:rsid w:val="00EE7030"/>
    <w:rsid w:val="00F16F12"/>
    <w:rsid w:val="00F25981"/>
    <w:rsid w:val="00F5480F"/>
    <w:rsid w:val="00F62E40"/>
    <w:rsid w:val="00F8403E"/>
    <w:rsid w:val="00FB7B1C"/>
    <w:rsid w:val="00FC4806"/>
    <w:rsid w:val="07B216D8"/>
    <w:rsid w:val="084A5DB4"/>
    <w:rsid w:val="094E3682"/>
    <w:rsid w:val="0F3D21CF"/>
    <w:rsid w:val="10A13781"/>
    <w:rsid w:val="181464FC"/>
    <w:rsid w:val="233831B4"/>
    <w:rsid w:val="23683CAE"/>
    <w:rsid w:val="251A293E"/>
    <w:rsid w:val="25F6051E"/>
    <w:rsid w:val="29924081"/>
    <w:rsid w:val="2AC84BEB"/>
    <w:rsid w:val="34AA523B"/>
    <w:rsid w:val="368076B6"/>
    <w:rsid w:val="3B4A2E09"/>
    <w:rsid w:val="3C574020"/>
    <w:rsid w:val="3D54230E"/>
    <w:rsid w:val="3DCB6A74"/>
    <w:rsid w:val="3F942E96"/>
    <w:rsid w:val="400E3767"/>
    <w:rsid w:val="41AD5559"/>
    <w:rsid w:val="42CF0C94"/>
    <w:rsid w:val="42FF2D1C"/>
    <w:rsid w:val="44337121"/>
    <w:rsid w:val="44B57B36"/>
    <w:rsid w:val="4585575A"/>
    <w:rsid w:val="473F7B8B"/>
    <w:rsid w:val="487D2952"/>
    <w:rsid w:val="4ECB16C9"/>
    <w:rsid w:val="507F724A"/>
    <w:rsid w:val="52880638"/>
    <w:rsid w:val="547277F2"/>
    <w:rsid w:val="5B8A6831"/>
    <w:rsid w:val="5D95403F"/>
    <w:rsid w:val="5DC310BE"/>
    <w:rsid w:val="606647BC"/>
    <w:rsid w:val="65766A16"/>
    <w:rsid w:val="6E3077EF"/>
    <w:rsid w:val="72A03324"/>
    <w:rsid w:val="739A4756"/>
    <w:rsid w:val="79657CDE"/>
    <w:rsid w:val="7AEA3D63"/>
    <w:rsid w:val="7C1508DF"/>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0"/>
    <w:pPr>
      <w:adjustRightInd w:val="0"/>
      <w:snapToGrid w:val="0"/>
      <w:spacing w:line="360" w:lineRule="auto"/>
      <w:jc w:val="center"/>
      <w:outlineLvl w:val="0"/>
    </w:pPr>
    <w:rPr>
      <w:rFonts w:ascii="黑体" w:hAnsi="宋体" w:eastAsia="黑体" w:cs="Arial"/>
      <w:bCs/>
      <w:color w:val="000000"/>
      <w:w w:val="80"/>
      <w:sz w:val="36"/>
      <w:szCs w:val="36"/>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pPr>
  </w:style>
  <w:style w:type="paragraph" w:styleId="3">
    <w:name w:val="caption"/>
    <w:basedOn w:val="1"/>
    <w:next w:val="1"/>
    <w:unhideWhenUsed/>
    <w:qFormat/>
    <w:uiPriority w:val="0"/>
    <w:rPr>
      <w:rFonts w:ascii="DejaVu Sans" w:hAnsi="DejaVu Sans" w:eastAsia="方正黑体_GBK"/>
      <w:sz w:val="20"/>
    </w:rPr>
  </w:style>
  <w:style w:type="paragraph" w:styleId="6">
    <w:name w:val="annotation text"/>
    <w:basedOn w:val="1"/>
    <w:link w:val="26"/>
    <w:semiHidden/>
    <w:unhideWhenUsed/>
    <w:qFormat/>
    <w:uiPriority w:val="99"/>
    <w:pPr>
      <w:jc w:val="left"/>
    </w:pPr>
  </w:style>
  <w:style w:type="paragraph" w:styleId="7">
    <w:name w:val="Body Text"/>
    <w:basedOn w:val="1"/>
    <w:next w:val="1"/>
    <w:link w:val="36"/>
    <w:unhideWhenUsed/>
    <w:qFormat/>
    <w:uiPriority w:val="99"/>
    <w:pPr>
      <w:widowControl/>
      <w:jc w:val="left"/>
    </w:pPr>
  </w:style>
  <w:style w:type="paragraph" w:styleId="8">
    <w:name w:val="Body Text Indent"/>
    <w:basedOn w:val="1"/>
    <w:next w:val="9"/>
    <w:unhideWhenUsed/>
    <w:qFormat/>
    <w:uiPriority w:val="99"/>
    <w:pPr>
      <w:ind w:firstLine="600" w:firstLineChars="200"/>
    </w:pPr>
    <w:rPr>
      <w:sz w:val="30"/>
    </w:r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4"/>
    <w:autoRedefine/>
    <w:qFormat/>
    <w:uiPriority w:val="99"/>
    <w:rPr>
      <w:rFonts w:ascii="宋体" w:hAnsi="Courier New" w:eastAsia="宋体" w:cs="Times New Roman"/>
      <w:szCs w:val="21"/>
    </w:rPr>
  </w:style>
  <w:style w:type="paragraph" w:styleId="11">
    <w:name w:val="Balloon Text"/>
    <w:basedOn w:val="1"/>
    <w:link w:val="28"/>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5"/>
    <w:next w:val="1"/>
    <w:qFormat/>
    <w:uiPriority w:val="0"/>
    <w:pPr>
      <w:spacing w:line="360" w:lineRule="exact"/>
      <w:jc w:val="center"/>
      <w:outlineLvl w:val="0"/>
    </w:pPr>
    <w:rPr>
      <w:rFonts w:ascii="Cambria" w:hAnsi="Cambria" w:eastAsia="仿宋_GB2312" w:cs="Times New Roman"/>
      <w:sz w:val="24"/>
    </w:rPr>
  </w:style>
  <w:style w:type="paragraph" w:styleId="16">
    <w:name w:val="annotation subject"/>
    <w:basedOn w:val="6"/>
    <w:next w:val="6"/>
    <w:link w:val="27"/>
    <w:autoRedefine/>
    <w:semiHidden/>
    <w:unhideWhenUsed/>
    <w:qFormat/>
    <w:uiPriority w:val="99"/>
    <w:rPr>
      <w:b/>
      <w:bCs/>
    </w:rPr>
  </w:style>
  <w:style w:type="paragraph" w:styleId="17">
    <w:name w:val="Body Text First Indent"/>
    <w:basedOn w:val="7"/>
    <w:autoRedefine/>
    <w:qFormat/>
    <w:uiPriority w:val="0"/>
    <w:pPr>
      <w:ind w:firstLine="420" w:firstLineChars="100"/>
    </w:pPr>
    <w:rPr>
      <w:szCs w:val="24"/>
    </w:rPr>
  </w:style>
  <w:style w:type="paragraph" w:styleId="18">
    <w:name w:val="Body Text First Indent 2"/>
    <w:basedOn w:val="8"/>
    <w:next w:val="17"/>
    <w:semiHidden/>
    <w:unhideWhenUsed/>
    <w:qFormat/>
    <w:uiPriority w:val="99"/>
    <w:pPr>
      <w:spacing w:after="120"/>
      <w:ind w:left="420" w:leftChars="200" w:firstLine="420"/>
    </w:pPr>
    <w:rPr>
      <w:rFonts w:ascii="Times New Roman" w:hAnsi="Times New Roman" w:eastAsia="宋体" w:cs="Times New Roman"/>
      <w:sz w:val="21"/>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semiHidden/>
    <w:unhideWhenUsed/>
    <w:uiPriority w:val="99"/>
    <w:rPr>
      <w:color w:val="0000FF"/>
      <w:u w:val="single"/>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paragraph" w:customStyle="1" w:styleId="25">
    <w:name w:val="p0"/>
    <w:basedOn w:val="1"/>
    <w:autoRedefine/>
    <w:qFormat/>
    <w:uiPriority w:val="99"/>
    <w:pPr>
      <w:widowControl/>
    </w:pPr>
    <w:rPr>
      <w:rFonts w:ascii="Times New Roman" w:hAnsi="Times New Roman" w:eastAsia="宋体" w:cs="Times New Roman"/>
      <w:kern w:val="0"/>
      <w:szCs w:val="21"/>
    </w:rPr>
  </w:style>
  <w:style w:type="character" w:customStyle="1" w:styleId="26">
    <w:name w:val="批注文字 字符"/>
    <w:basedOn w:val="21"/>
    <w:link w:val="6"/>
    <w:autoRedefine/>
    <w:semiHidden/>
    <w:qFormat/>
    <w:uiPriority w:val="99"/>
  </w:style>
  <w:style w:type="character" w:customStyle="1" w:styleId="27">
    <w:name w:val="批注主题 字符"/>
    <w:basedOn w:val="26"/>
    <w:link w:val="16"/>
    <w:autoRedefine/>
    <w:semiHidden/>
    <w:qFormat/>
    <w:uiPriority w:val="99"/>
    <w:rPr>
      <w:b/>
      <w:bCs/>
    </w:rPr>
  </w:style>
  <w:style w:type="character" w:customStyle="1" w:styleId="28">
    <w:name w:val="批注框文本 字符"/>
    <w:basedOn w:val="21"/>
    <w:link w:val="11"/>
    <w:semiHidden/>
    <w:qFormat/>
    <w:uiPriority w:val="99"/>
    <w:rPr>
      <w:sz w:val="18"/>
      <w:szCs w:val="18"/>
    </w:rPr>
  </w:style>
  <w:style w:type="character" w:customStyle="1" w:styleId="29">
    <w:name w:val="页眉 字符"/>
    <w:basedOn w:val="21"/>
    <w:link w:val="13"/>
    <w:autoRedefine/>
    <w:qFormat/>
    <w:uiPriority w:val="99"/>
    <w:rPr>
      <w:sz w:val="18"/>
      <w:szCs w:val="18"/>
    </w:rPr>
  </w:style>
  <w:style w:type="character" w:customStyle="1" w:styleId="30">
    <w:name w:val="页脚 字符"/>
    <w:basedOn w:val="21"/>
    <w:link w:val="12"/>
    <w:autoRedefine/>
    <w:qFormat/>
    <w:uiPriority w:val="99"/>
    <w:rPr>
      <w:sz w:val="18"/>
      <w:szCs w:val="18"/>
    </w:rPr>
  </w:style>
  <w:style w:type="character" w:customStyle="1" w:styleId="31">
    <w:name w:val="标题 1 字符"/>
    <w:basedOn w:val="21"/>
    <w:link w:val="4"/>
    <w:qFormat/>
    <w:uiPriority w:val="0"/>
    <w:rPr>
      <w:rFonts w:ascii="黑体" w:hAnsi="宋体" w:eastAsia="黑体" w:cs="Arial"/>
      <w:bCs/>
      <w:color w:val="000000"/>
      <w:w w:val="80"/>
      <w:sz w:val="36"/>
      <w:szCs w:val="36"/>
    </w:rPr>
  </w:style>
  <w:style w:type="paragraph" w:customStyle="1" w:styleId="3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font11"/>
    <w:basedOn w:val="21"/>
    <w:autoRedefine/>
    <w:qFormat/>
    <w:uiPriority w:val="0"/>
    <w:rPr>
      <w:rFonts w:hint="eastAsia" w:ascii="仿宋" w:hAnsi="仿宋" w:eastAsia="仿宋"/>
      <w:color w:val="000000"/>
      <w:sz w:val="24"/>
      <w:szCs w:val="24"/>
      <w:u w:val="none"/>
    </w:rPr>
  </w:style>
  <w:style w:type="character" w:customStyle="1" w:styleId="34">
    <w:name w:val="纯文本 字符"/>
    <w:basedOn w:val="21"/>
    <w:link w:val="10"/>
    <w:autoRedefine/>
    <w:qFormat/>
    <w:uiPriority w:val="0"/>
    <w:rPr>
      <w:rFonts w:ascii="宋体" w:hAnsi="Courier New" w:eastAsia="宋体" w:cs="Times New Roman"/>
      <w:szCs w:val="21"/>
    </w:rPr>
  </w:style>
  <w:style w:type="paragraph" w:customStyle="1" w:styleId="35">
    <w:name w:val="黑列表"/>
    <w:basedOn w:val="1"/>
    <w:autoRedefine/>
    <w:qFormat/>
    <w:uiPriority w:val="0"/>
    <w:pPr>
      <w:widowControl/>
      <w:numPr>
        <w:ilvl w:val="0"/>
        <w:numId w:val="1"/>
      </w:numPr>
      <w:tabs>
        <w:tab w:val="left" w:pos="482"/>
        <w:tab w:val="left" w:pos="960"/>
      </w:tabs>
      <w:adjustRightInd w:val="0"/>
      <w:spacing w:line="300" w:lineRule="auto"/>
      <w:jc w:val="left"/>
    </w:pPr>
    <w:rPr>
      <w:rFonts w:ascii="Times New Roman" w:hAnsi="Times New Roman" w:eastAsia="宋体" w:cs="Times New Roman"/>
      <w:kern w:val="0"/>
      <w:sz w:val="24"/>
      <w:szCs w:val="20"/>
    </w:rPr>
  </w:style>
  <w:style w:type="character" w:customStyle="1" w:styleId="36">
    <w:name w:val="正文文本 字符"/>
    <w:basedOn w:val="21"/>
    <w:link w:val="7"/>
    <w:autoRedefine/>
    <w:qFormat/>
    <w:uiPriority w:val="99"/>
  </w:style>
  <w:style w:type="paragraph" w:customStyle="1" w:styleId="37">
    <w:name w:val="* Body1"/>
    <w:basedOn w:val="1"/>
    <w:autoRedefine/>
    <w:qFormat/>
    <w:uiPriority w:val="0"/>
    <w:pPr>
      <w:widowControl/>
      <w:spacing w:afterLines="50" w:line="360" w:lineRule="auto"/>
    </w:pPr>
    <w:rPr>
      <w:rFonts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E3604-CA34-4D0A-B047-9B99F8E801BB}">
  <ds:schemaRefs/>
</ds:datastoreItem>
</file>

<file path=docProps/app.xml><?xml version="1.0" encoding="utf-8"?>
<Properties xmlns="http://schemas.openxmlformats.org/officeDocument/2006/extended-properties" xmlns:vt="http://schemas.openxmlformats.org/officeDocument/2006/docPropsVTypes">
  <Template>Normal</Template>
  <Pages>17</Pages>
  <Words>7864</Words>
  <Characters>8206</Characters>
  <Lines>5</Lines>
  <Paragraphs>1</Paragraphs>
  <TotalTime>6</TotalTime>
  <ScaleCrop>false</ScaleCrop>
  <LinksUpToDate>false</LinksUpToDate>
  <CharactersWithSpaces>8305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2019-02-23T07:32:00Z</dcterms:created>
  <dc:creator>李雯(Li Wen 中化招标)</dc:creator>
  <cp:lastModifiedBy>刘轩博</cp:lastModifiedBy>
  <cp:lastPrinted>2022-02-22T06:53:00Z</cp:lastPrinted>
  <dcterms:modified xsi:type="dcterms:W3CDTF">2025-05-16T06:34:46Z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742619659D2C4FB58D39EFA11D1259D8_12</vt:lpwstr>
  </property>
  <property fmtid="{D5CDD505-2E9C-101B-9397-08002B2CF9AE}" pid="4" name="KSOTemplateDocerSaveRecord">
    <vt:lpwstr>eyJoZGlkIjoiNmJmOTBlNjFmMWU0NTM3YjY3MzQ2OWU4NTk5NjIzMTIiLCJ1c2VySWQiOiI1MjkwNjc0MTYifQ==</vt:lpwstr>
  </property>
</Properties>
</file>